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6BEEE5">
      <w:pPr>
        <w:spacing w:after="0" w:line="240" w:lineRule="auto"/>
        <w:jc w:val="center"/>
        <w:outlineLvl w:val="0"/>
        <w:rPr>
          <w:rFonts w:eastAsia="Times New Roman" w:asciiTheme="majorBidi" w:hAnsiTheme="majorBidi" w:cstheme="majorBidi"/>
          <w:b/>
          <w:bCs/>
          <w:kern w:val="36"/>
          <w:sz w:val="24"/>
          <w:szCs w:val="24"/>
          <w14:ligatures w14:val="none"/>
        </w:rPr>
      </w:pPr>
      <w:r>
        <w:rPr>
          <w:rFonts w:eastAsia="Times New Roman" w:asciiTheme="majorBidi" w:hAnsiTheme="majorBidi" w:cstheme="majorBidi"/>
          <w:b/>
          <w:bCs/>
          <w:kern w:val="36"/>
          <w:sz w:val="24"/>
          <w:szCs w:val="24"/>
          <w14:ligatures w14:val="none"/>
        </w:rPr>
        <w:t>CASE STUDY DATA</w:t>
      </w:r>
    </w:p>
    <w:p w14:paraId="2A07B085">
      <w:pPr>
        <w:spacing w:after="0" w:line="240" w:lineRule="auto"/>
        <w:jc w:val="center"/>
        <w:outlineLvl w:val="0"/>
        <w:rPr>
          <w:rFonts w:eastAsia="Times New Roman" w:asciiTheme="majorBidi" w:hAnsiTheme="majorBidi" w:cstheme="majorBidi"/>
          <w:b/>
          <w:bCs/>
          <w:kern w:val="36"/>
          <w:sz w:val="24"/>
          <w:szCs w:val="24"/>
          <w14:ligatures w14:val="none"/>
        </w:rPr>
      </w:pPr>
    </w:p>
    <w:p w14:paraId="1680D79B">
      <w:pPr>
        <w:spacing w:after="0" w:line="240" w:lineRule="auto"/>
        <w:jc w:val="both"/>
        <w:rPr>
          <w:rFonts w:asciiTheme="majorBidi" w:hAnsiTheme="majorBidi" w:cstheme="majorBidi"/>
          <w:sz w:val="24"/>
          <w:szCs w:val="24"/>
        </w:rPr>
      </w:pPr>
      <w:r>
        <w:rPr>
          <w:rFonts w:eastAsia="Times New Roman" w:asciiTheme="majorBidi" w:hAnsiTheme="majorBidi" w:cstheme="majorBidi"/>
          <w:b/>
          <w:bCs/>
          <w:kern w:val="0"/>
          <w:sz w:val="24"/>
          <w:szCs w:val="24"/>
          <w14:ligatures w14:val="none"/>
        </w:rPr>
        <w:t>Topic:</w:t>
      </w:r>
      <w:r>
        <w:rPr>
          <w:rFonts w:eastAsia="Times New Roman" w:asciiTheme="majorBidi" w:hAnsiTheme="majorBidi" w:cstheme="majorBidi"/>
          <w:kern w:val="0"/>
          <w:sz w:val="24"/>
          <w:szCs w:val="24"/>
          <w14:ligatures w14:val="none"/>
        </w:rPr>
        <w:t xml:space="preserve"> </w:t>
      </w:r>
      <w:r>
        <w:rPr>
          <w:rFonts w:asciiTheme="majorBidi" w:hAnsiTheme="majorBidi" w:cstheme="majorBidi"/>
          <w:sz w:val="24"/>
          <w:szCs w:val="24"/>
        </w:rPr>
        <w:t>Determinants of Adoption and Sustainability of Solar-Powered Smart Building Systems in Public Housing Estates: A Multi-Case Study from an Oil-Led Emerging Economy</w:t>
      </w:r>
    </w:p>
    <w:p w14:paraId="08F99550">
      <w:pPr>
        <w:spacing w:after="0" w:line="240" w:lineRule="auto"/>
        <w:jc w:val="both"/>
        <w:rPr>
          <w:rFonts w:asciiTheme="majorBidi" w:hAnsiTheme="majorBidi" w:cstheme="majorBidi"/>
          <w:sz w:val="24"/>
          <w:szCs w:val="24"/>
        </w:rPr>
      </w:pPr>
    </w:p>
    <w:p w14:paraId="047DF35F">
      <w:pPr>
        <w:spacing w:after="0" w:line="240" w:lineRule="auto"/>
        <w:jc w:val="both"/>
        <w:rPr>
          <w:rFonts w:eastAsia="Times New Roman" w:asciiTheme="majorBidi" w:hAnsiTheme="majorBidi" w:cstheme="majorBidi"/>
          <w:kern w:val="0"/>
          <w:sz w:val="24"/>
          <w:szCs w:val="24"/>
          <w14:ligatures w14:val="none"/>
        </w:rPr>
      </w:pPr>
      <w:r>
        <w:rPr>
          <w:rFonts w:eastAsia="Times New Roman" w:asciiTheme="majorBidi" w:hAnsiTheme="majorBidi" w:cstheme="majorBidi"/>
          <w:b/>
          <w:bCs/>
          <w:kern w:val="0"/>
          <w:sz w:val="24"/>
          <w:szCs w:val="24"/>
          <w14:ligatures w14:val="none"/>
        </w:rPr>
        <w:t xml:space="preserve">Objective: </w:t>
      </w:r>
      <w:r>
        <w:rPr>
          <w:rFonts w:eastAsia="Times New Roman" w:asciiTheme="majorBidi" w:hAnsiTheme="majorBidi" w:cstheme="majorBidi"/>
          <w:kern w:val="0"/>
          <w:sz w:val="24"/>
          <w:szCs w:val="24"/>
          <w14:ligatures w14:val="none"/>
        </w:rPr>
        <w:t>To investigate the multi-dimensional factors influencing the implementation and sustainability of solar-powered smart building systems in public housing estates.</w:t>
      </w:r>
    </w:p>
    <w:p w14:paraId="5BD54B92">
      <w:pPr>
        <w:spacing w:after="0" w:line="240" w:lineRule="auto"/>
        <w:jc w:val="both"/>
        <w:rPr>
          <w:rFonts w:eastAsia="Times New Roman" w:asciiTheme="majorBidi" w:hAnsiTheme="majorBidi" w:cstheme="majorBidi"/>
          <w:kern w:val="0"/>
          <w:sz w:val="24"/>
          <w:szCs w:val="24"/>
          <w14:ligatures w14:val="none"/>
        </w:rPr>
      </w:pPr>
    </w:p>
    <w:p w14:paraId="6EEE3E67">
      <w:pPr>
        <w:spacing w:after="0" w:line="240" w:lineRule="auto"/>
        <w:jc w:val="both"/>
        <w:outlineLvl w:val="1"/>
        <w:rPr>
          <w:rFonts w:eastAsia="Times New Roman" w:asciiTheme="majorBidi" w:hAnsiTheme="majorBidi" w:cstheme="majorBidi"/>
          <w:b/>
          <w:bCs/>
          <w:kern w:val="0"/>
          <w:sz w:val="24"/>
          <w:szCs w:val="24"/>
          <w14:ligatures w14:val="none"/>
        </w:rPr>
      </w:pPr>
      <w:r>
        <w:rPr>
          <w:rFonts w:eastAsia="Times New Roman" w:asciiTheme="majorBidi" w:hAnsiTheme="majorBidi" w:cstheme="majorBidi"/>
          <w:b/>
          <w:bCs/>
          <w:kern w:val="0"/>
          <w:sz w:val="24"/>
          <w:szCs w:val="24"/>
          <w14:ligatures w14:val="none"/>
        </w:rPr>
        <w:t>Research Questions:</w:t>
      </w:r>
    </w:p>
    <w:p w14:paraId="44DCECC7">
      <w:pPr>
        <w:numPr>
          <w:ilvl w:val="0"/>
          <w:numId w:val="1"/>
        </w:numPr>
        <w:spacing w:after="0" w:line="240" w:lineRule="auto"/>
        <w:jc w:val="both"/>
        <w:rPr>
          <w:rFonts w:eastAsia="Times New Roman" w:asciiTheme="majorBidi" w:hAnsiTheme="majorBidi" w:cstheme="majorBidi"/>
          <w:kern w:val="0"/>
          <w:sz w:val="24"/>
          <w:szCs w:val="24"/>
          <w14:ligatures w14:val="none"/>
        </w:rPr>
      </w:pPr>
      <w:r>
        <w:rPr>
          <w:rFonts w:eastAsia="Times New Roman" w:asciiTheme="majorBidi" w:hAnsiTheme="majorBidi" w:cstheme="majorBidi"/>
          <w:kern w:val="0"/>
          <w:sz w:val="24"/>
          <w:szCs w:val="24"/>
          <w14:ligatures w14:val="none"/>
        </w:rPr>
        <w:t xml:space="preserve">What technical and managerial factors affect system performance? </w:t>
      </w:r>
    </w:p>
    <w:p w14:paraId="6A7475C4">
      <w:pPr>
        <w:numPr>
          <w:ilvl w:val="0"/>
          <w:numId w:val="1"/>
        </w:numPr>
        <w:spacing w:after="0" w:line="240" w:lineRule="auto"/>
        <w:jc w:val="both"/>
        <w:rPr>
          <w:rFonts w:eastAsia="Times New Roman" w:asciiTheme="majorBidi" w:hAnsiTheme="majorBidi" w:cstheme="majorBidi"/>
          <w:kern w:val="0"/>
          <w:sz w:val="24"/>
          <w:szCs w:val="24"/>
          <w14:ligatures w14:val="none"/>
        </w:rPr>
      </w:pPr>
      <w:r>
        <w:rPr>
          <w:rFonts w:eastAsia="Times New Roman" w:asciiTheme="majorBidi" w:hAnsiTheme="majorBidi" w:cstheme="majorBidi"/>
          <w:kern w:val="0"/>
          <w:sz w:val="24"/>
          <w:szCs w:val="24"/>
          <w14:ligatures w14:val="none"/>
        </w:rPr>
        <w:t xml:space="preserve">How do governance and institutional arrangements shape implementation outcomes? </w:t>
      </w:r>
    </w:p>
    <w:p w14:paraId="10D6DA7D">
      <w:pPr>
        <w:numPr>
          <w:ilvl w:val="0"/>
          <w:numId w:val="1"/>
        </w:numPr>
        <w:spacing w:after="0" w:line="240" w:lineRule="auto"/>
        <w:jc w:val="both"/>
        <w:rPr>
          <w:rFonts w:eastAsia="Times New Roman" w:asciiTheme="majorBidi" w:hAnsiTheme="majorBidi" w:cstheme="majorBidi"/>
          <w:kern w:val="0"/>
          <w:sz w:val="24"/>
          <w:szCs w:val="24"/>
          <w14:ligatures w14:val="none"/>
        </w:rPr>
      </w:pPr>
      <w:r>
        <w:rPr>
          <w:rFonts w:eastAsia="Times New Roman" w:asciiTheme="majorBidi" w:hAnsiTheme="majorBidi" w:cstheme="majorBidi"/>
          <w:kern w:val="0"/>
          <w:sz w:val="24"/>
          <w:szCs w:val="24"/>
          <w14:ligatures w14:val="none"/>
        </w:rPr>
        <w:t xml:space="preserve">What economic and financial considerations influence adoption? </w:t>
      </w:r>
    </w:p>
    <w:p w14:paraId="1D88B1AC">
      <w:pPr>
        <w:numPr>
          <w:ilvl w:val="0"/>
          <w:numId w:val="1"/>
        </w:numPr>
        <w:spacing w:after="0" w:line="240" w:lineRule="auto"/>
        <w:jc w:val="both"/>
        <w:rPr>
          <w:rFonts w:eastAsia="Times New Roman" w:asciiTheme="majorBidi" w:hAnsiTheme="majorBidi" w:cstheme="majorBidi"/>
          <w:kern w:val="0"/>
          <w:sz w:val="24"/>
          <w:szCs w:val="24"/>
          <w14:ligatures w14:val="none"/>
        </w:rPr>
      </w:pPr>
      <w:r>
        <w:rPr>
          <w:rFonts w:eastAsia="Times New Roman" w:asciiTheme="majorBidi" w:hAnsiTheme="majorBidi" w:cstheme="majorBidi"/>
          <w:kern w:val="0"/>
          <w:sz w:val="24"/>
          <w:szCs w:val="24"/>
          <w14:ligatures w14:val="none"/>
        </w:rPr>
        <w:t xml:space="preserve">How do residents perceive and respond to these systems? </w:t>
      </w:r>
    </w:p>
    <w:p w14:paraId="2014D92C">
      <w:pPr>
        <w:numPr>
          <w:ilvl w:val="0"/>
          <w:numId w:val="1"/>
        </w:numPr>
        <w:spacing w:after="0" w:line="240" w:lineRule="auto"/>
        <w:jc w:val="both"/>
        <w:rPr>
          <w:rFonts w:eastAsia="Times New Roman" w:asciiTheme="majorBidi" w:hAnsiTheme="majorBidi" w:cstheme="majorBidi"/>
          <w:kern w:val="0"/>
          <w:sz w:val="24"/>
          <w:szCs w:val="24"/>
          <w14:ligatures w14:val="none"/>
        </w:rPr>
      </w:pPr>
      <w:r>
        <w:rPr>
          <w:rFonts w:eastAsia="Times New Roman" w:asciiTheme="majorBidi" w:hAnsiTheme="majorBidi" w:cstheme="majorBidi"/>
          <w:kern w:val="0"/>
          <w:sz w:val="24"/>
          <w:szCs w:val="24"/>
          <w14:ligatures w14:val="none"/>
        </w:rPr>
        <w:t>What lessons emerge from cross-case comparison?</w:t>
      </w:r>
    </w:p>
    <w:p w14:paraId="6CA9D45A">
      <w:pPr>
        <w:spacing w:after="0" w:line="240" w:lineRule="auto"/>
        <w:jc w:val="both"/>
        <w:rPr>
          <w:rFonts w:eastAsia="Times New Roman" w:asciiTheme="majorBidi" w:hAnsiTheme="majorBidi" w:cstheme="majorBidi"/>
          <w:b/>
          <w:bCs/>
          <w:kern w:val="0"/>
          <w:sz w:val="24"/>
          <w:szCs w:val="24"/>
          <w14:ligatures w14:val="none"/>
        </w:rPr>
      </w:pPr>
    </w:p>
    <w:p w14:paraId="27F2860C">
      <w:pPr>
        <w:spacing w:after="0" w:line="240" w:lineRule="auto"/>
        <w:jc w:val="both"/>
        <w:outlineLvl w:val="0"/>
        <w:rPr>
          <w:rFonts w:eastAsia="Times New Roman" w:asciiTheme="majorBidi" w:hAnsiTheme="majorBidi" w:cstheme="majorBidi"/>
          <w:b/>
          <w:bCs/>
          <w:kern w:val="36"/>
          <w:sz w:val="24"/>
          <w:szCs w:val="24"/>
          <w14:ligatures w14:val="none"/>
        </w:rPr>
      </w:pPr>
    </w:p>
    <w:p w14:paraId="25C9E456">
      <w:pPr>
        <w:spacing w:after="0" w:line="240" w:lineRule="auto"/>
        <w:jc w:val="both"/>
        <w:outlineLvl w:val="1"/>
        <w:rPr>
          <w:rFonts w:eastAsia="Times New Roman" w:asciiTheme="majorBidi" w:hAnsiTheme="majorBidi" w:cstheme="majorBidi"/>
          <w:b/>
          <w:bCs/>
          <w:kern w:val="0"/>
          <w:sz w:val="24"/>
          <w:szCs w:val="24"/>
          <w14:ligatures w14:val="none"/>
        </w:rPr>
      </w:pPr>
      <w:r>
        <w:rPr>
          <w:rFonts w:eastAsia="Times New Roman" w:asciiTheme="majorBidi" w:hAnsiTheme="majorBidi" w:cstheme="majorBidi"/>
          <w:b/>
          <w:bCs/>
          <w:kern w:val="0"/>
          <w:sz w:val="24"/>
          <w:szCs w:val="24"/>
          <w14:ligatures w14:val="none"/>
        </w:rPr>
        <w:t>CASE STUDY DATA</w:t>
      </w:r>
    </w:p>
    <w:p w14:paraId="5B6E5D7F">
      <w:pPr>
        <w:spacing w:after="0" w:line="240" w:lineRule="auto"/>
        <w:jc w:val="both"/>
        <w:outlineLvl w:val="1"/>
        <w:rPr>
          <w:rFonts w:eastAsia="Times New Roman" w:asciiTheme="majorBidi" w:hAnsiTheme="majorBidi" w:cstheme="majorBidi"/>
          <w:b/>
          <w:bCs/>
          <w:kern w:val="0"/>
          <w:sz w:val="24"/>
          <w:szCs w:val="24"/>
          <w14:ligatures w14:val="none"/>
        </w:rPr>
      </w:pPr>
    </w:p>
    <w:p w14:paraId="3B3E49F8">
      <w:pPr>
        <w:spacing w:after="0" w:line="240" w:lineRule="auto"/>
        <w:jc w:val="both"/>
        <w:outlineLvl w:val="0"/>
        <w:rPr>
          <w:rFonts w:ascii="Times New Roman" w:hAnsi="Times New Roman" w:eastAsia="Times New Roman" w:cs="Times New Roman"/>
          <w:b/>
          <w:bCs/>
          <w:kern w:val="36"/>
          <w:sz w:val="24"/>
          <w:szCs w:val="24"/>
          <w14:ligatures w14:val="none"/>
        </w:rPr>
      </w:pPr>
      <w:r>
        <w:rPr>
          <w:rFonts w:ascii="Times New Roman" w:hAnsi="Times New Roman" w:eastAsia="Times New Roman" w:cs="Times New Roman"/>
          <w:b/>
          <w:bCs/>
          <w:kern w:val="36"/>
          <w:sz w:val="24"/>
          <w:szCs w:val="24"/>
          <w14:ligatures w14:val="none"/>
        </w:rPr>
        <w:t>Case Study 1: Green Court Estate Pilot Project</w:t>
      </w:r>
    </w:p>
    <w:p w14:paraId="670DB3BF">
      <w:pPr>
        <w:spacing w:after="0"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Green Court Estate represents one of the earliest pilot initiatives aimed at integrating solar-powered smart building systems into public housing estates within an oil-led emerging economy. Established as a 120-unit residential development, the estate was selected in 2023 as a demonstration site for renewable energy adoption due to its relatively modern infrastructure and manageable scale. The project was conceived as part of a broader national agenda to reduce dependence on fossil-fuel-based electricity systems while promoting sustainability and energy efficiency in public infrastructure. It also sought to explore how renewable technologies could be integrated with smart systems to improve transparency, efficiency, and user engagement at the household level.</w:t>
      </w:r>
      <w:r>
        <w:rPr>
          <w:rFonts w:hint="default" w:ascii="Times New Roman" w:hAnsi="Times New Roman" w:eastAsia="Times New Roman" w:cs="Times New Roman"/>
          <w:kern w:val="0"/>
          <w:sz w:val="24"/>
          <w:szCs w:val="24"/>
          <w:lang w:val="en-US"/>
          <w14:ligatures w14:val="none"/>
        </w:rPr>
        <w:t xml:space="preserve"> </w:t>
      </w:r>
      <w:r>
        <w:rPr>
          <w:rFonts w:ascii="Times New Roman" w:hAnsi="Times New Roman" w:eastAsia="Times New Roman" w:cs="Times New Roman"/>
          <w:kern w:val="0"/>
          <w:sz w:val="24"/>
          <w:szCs w:val="24"/>
          <w14:ligatures w14:val="none"/>
        </w:rPr>
        <w:t>The intervention involved the installation of rooftop solar panels on 60 housing units, creating a partial adoption model that allowed comparison between solar-equipped and non-solar households. In addition, smart meters were introduced to provide real-time monitoring of electricity consumption, enabling residents to better understand their usage patterns and potentially adjust their behavior accordingly. Solar-powered street lighting systems were also deployed in common areas such as walkways, parking zones, and recreational spaces, with the dual aim of reducing communal electricity costs and improving safety during nighttime hours. From a technical standpoint, the project incorporated photovoltaic panels, inverter systems, and battery storage units. However, the procurement process prioritized minimizing initial capital costs, which influenced the selection of components and later had implications for system performance. Multiple stakeholders were involved in the implementation process, including government agencies responsible for funding and policy oversight, private contractors tasked with installation and technical support, estate management personnel responsible for day-to-day operations, and residents who were the ultimate beneficiaries of the system. Despite this multi-stakeholder involvement, coordination among these actors was not fully integrated. Estate managers had limited involvement during the planning phase, and residents were not actively consulted prior to implementation. This lack of early engagement later contributed to challenges in system adoption and user satisfaction.</w:t>
      </w:r>
      <w:r>
        <w:rPr>
          <w:rFonts w:hint="default" w:ascii="Times New Roman" w:hAnsi="Times New Roman" w:eastAsia="Times New Roman" w:cs="Times New Roman"/>
          <w:kern w:val="0"/>
          <w:sz w:val="24"/>
          <w:szCs w:val="24"/>
          <w:lang w:val="en-US"/>
          <w14:ligatures w14:val="none"/>
        </w:rPr>
        <w:t xml:space="preserve"> </w:t>
      </w:r>
      <w:bookmarkStart w:id="0" w:name="_GoBack"/>
      <w:bookmarkEnd w:id="0"/>
      <w:r>
        <w:rPr>
          <w:rFonts w:ascii="Times New Roman" w:hAnsi="Times New Roman" w:eastAsia="Times New Roman" w:cs="Times New Roman"/>
          <w:kern w:val="0"/>
          <w:sz w:val="24"/>
          <w:szCs w:val="24"/>
          <w14:ligatures w14:val="none"/>
        </w:rPr>
        <w:t>In its early stages, the Green Court project achieved several notable successes. Households equipped with solar panels experienced a reduction in reliance on grid electricity during daylight hours, which translated into lower utility expenses. The smart meters also introduced a new level of transparency, allowing residents to track their energy consumption more closely. Some residents began to adopt more energy-efficient practices as a result of increased awareness. Additionally, the solar-powered street lighting enhanced the usability and safety of public spaces, contributing to an overall improvement in the living environment. These outcomes reinforced initial optimism among policymakers and stakeholders, who viewed the project as a promising step toward sustainable housing. However, as the project progressed, a number of challenges emerged that undermined its long-term effectiveness. One of the most significant issues was the lack of a robust maintenance framework. Faults in inverter systems and battery units were not addressed promptly due to delays in technical response. These delays were partly attributable to unclear maintenance responsibilities and insufficient contractual provisions for after-sales support. As a result, minor technical issues often escalated into more serious problems, affecting system reliability.</w:t>
      </w:r>
    </w:p>
    <w:p w14:paraId="2549276B">
      <w:pPr>
        <w:spacing w:after="0" w:line="240" w:lineRule="auto"/>
        <w:jc w:val="both"/>
        <w:rPr>
          <w:rFonts w:ascii="Times New Roman" w:hAnsi="Times New Roman" w:eastAsia="Times New Roman" w:cs="Times New Roman"/>
          <w:kern w:val="0"/>
          <w:sz w:val="24"/>
          <w:szCs w:val="24"/>
          <w14:ligatures w14:val="none"/>
        </w:rPr>
      </w:pPr>
    </w:p>
    <w:p w14:paraId="361EB612">
      <w:pPr>
        <w:spacing w:after="0"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Another major challenge was the limited understanding of smart meter functionality among residents. Many users found the technology difficult to interpret, leading to confusion and, in some cases, suspicion regarding electricity billing. Without adequate user education or training, the intended benefits of the smart system were not fully realized. This gap in knowledge contributed to declining user confidence and reduced willingness to engage with the technology.Procurement practices also played a critical role in shaping project outcomes. The emphasis on selecting the lowest-cost options resulted in the use of components that were less durable and required more frequent maintenance. This approach overlooked the importance of lifecycle costing, ultimately increasing long-term operational expenses and reducing system efficiency. In addition, the absence of structured feedback mechanisms meant that residents had limited opportunities to voice their concerns or provide input on system performance. This lack of communication further weakened trust between stakeholders.</w:t>
      </w:r>
    </w:p>
    <w:p w14:paraId="1A7EE991">
      <w:pPr>
        <w:spacing w:after="0" w:line="240" w:lineRule="auto"/>
        <w:jc w:val="both"/>
        <w:rPr>
          <w:rFonts w:ascii="Times New Roman" w:hAnsi="Times New Roman" w:eastAsia="Times New Roman" w:cs="Times New Roman"/>
          <w:kern w:val="0"/>
          <w:sz w:val="24"/>
          <w:szCs w:val="24"/>
          <w14:ligatures w14:val="none"/>
        </w:rPr>
      </w:pPr>
    </w:p>
    <w:p w14:paraId="2FEAC09B">
      <w:pPr>
        <w:spacing w:after="0"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At present, the Green Court Estate project remains operational but faces significant challenges related to user trust and system reliability. While the technical infrastructure continues to function at a basic level, recurring maintenance issues and inadequate communication have diminished the perceived value of the system. The project highlights a critical gap between policy ambition and implementation reality, demonstrating that technical feasibility alone is insufficient to ensure success. Effective governance, stakeholder engagement, and maintenance planning are equally essential components of sustainable innovation. The Green Court case offers several important lessons for future projects. It underscores the need for integrated planning that considers not only technical design but also operational and social dimensions. It also highlights the importance of user education and participatory approaches in fostering acceptance and trust. Furthermore, it emphasizes the need for procurement strategies that prioritize long-term value rather than short-term cost savings. Overall, Green Court serves as a valuable pilot that reveals both the potential and limitations of renewable energy adoption in public housing contexts.</w:t>
      </w:r>
    </w:p>
    <w:p w14:paraId="5BEBC636">
      <w:pPr>
        <w:spacing w:after="0" w:line="240" w:lineRule="auto"/>
        <w:jc w:val="both"/>
        <w:rPr>
          <w:rFonts w:ascii="Times New Roman" w:hAnsi="Times New Roman" w:eastAsia="Times New Roman" w:cs="Times New Roman"/>
          <w:kern w:val="0"/>
          <w:sz w:val="24"/>
          <w:szCs w:val="24"/>
          <w14:ligatures w14:val="none"/>
        </w:rPr>
      </w:pPr>
    </w:p>
    <w:p w14:paraId="06170DF1">
      <w:pPr>
        <w:spacing w:after="0" w:line="240" w:lineRule="auto"/>
        <w:jc w:val="both"/>
        <w:rPr>
          <w:rFonts w:ascii="Times New Roman" w:hAnsi="Times New Roman" w:eastAsia="Times New Roman" w:cs="Times New Roman"/>
          <w:kern w:val="0"/>
          <w:sz w:val="24"/>
          <w:szCs w:val="24"/>
          <w14:ligatures w14:val="none"/>
        </w:rPr>
      </w:pPr>
    </w:p>
    <w:p w14:paraId="7F1FDF87">
      <w:pPr>
        <w:spacing w:after="0" w:line="240" w:lineRule="auto"/>
        <w:jc w:val="both"/>
        <w:outlineLvl w:val="0"/>
        <w:rPr>
          <w:rFonts w:ascii="Times New Roman" w:hAnsi="Times New Roman" w:eastAsia="Times New Roman" w:cs="Times New Roman"/>
          <w:b/>
          <w:bCs/>
          <w:kern w:val="36"/>
          <w:sz w:val="24"/>
          <w:szCs w:val="24"/>
          <w14:ligatures w14:val="none"/>
        </w:rPr>
      </w:pPr>
      <w:r>
        <w:rPr>
          <w:rFonts w:ascii="Times New Roman" w:hAnsi="Times New Roman" w:eastAsia="Times New Roman" w:cs="Times New Roman"/>
          <w:b/>
          <w:bCs/>
          <w:kern w:val="36"/>
          <w:sz w:val="24"/>
          <w:szCs w:val="24"/>
          <w14:ligatures w14:val="none"/>
        </w:rPr>
        <w:t>Case Study 2: Sunrise Residency Sustainable Housing Scheme</w:t>
      </w:r>
    </w:p>
    <w:p w14:paraId="5249117A">
      <w:pPr>
        <w:spacing w:after="0"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Sunrise Residency represents a more advanced and integrated approach to the implementation of solar-powered smart building systems in public housing. Developed in 2024 as a mixed-income estate through a public-private partnership, the project was designed from the outset to incorporate sustainability as a central feature rather than an afterthought. Unlike pilot initiatives that focus on testing isolated components, Sunrise Residency adopted a comprehensive approach that integrated technical, managerial, and social dimensions into a cohesive system. The intervention involved the installation of solar rooftops across all apartment blocks, ensuring full coverage and eliminating disparities between households. This universal approach helped create a sense of equity among residents and avoided the fragmentation observed in partial adoption models. In addition to solar generation, a centralized energy monitoring dashboard was introduced, enabling real-time tracking of system performance. This digital infrastructure allowed estate managers and technical teams to detect faults quickly and respond more effectively. A key distinguishing feature of the project was the inclusion of a maintenance contract bundled with the installation, which ensured ongoing technical support, availability of spare parts, and continuous monitoring of system performance.</w:t>
      </w:r>
      <w:r>
        <w:rPr>
          <w:rFonts w:hint="default" w:ascii="Times New Roman" w:hAnsi="Times New Roman" w:eastAsia="Times New Roman" w:cs="Times New Roman"/>
          <w:kern w:val="0"/>
          <w:sz w:val="24"/>
          <w:szCs w:val="24"/>
          <w:lang w:val="en-US"/>
          <w14:ligatures w14:val="none"/>
        </w:rPr>
        <w:t xml:space="preserve"> </w:t>
      </w:r>
      <w:r>
        <w:rPr>
          <w:rFonts w:ascii="Times New Roman" w:hAnsi="Times New Roman" w:eastAsia="Times New Roman" w:cs="Times New Roman"/>
          <w:kern w:val="0"/>
          <w:sz w:val="24"/>
          <w:szCs w:val="24"/>
          <w14:ligatures w14:val="none"/>
        </w:rPr>
        <w:t>Another critical element of the Sunrise Residency model was the emphasis on user engagement. Residents participated in onboarding sessions before occupancy, where they were introduced to the system’s functionality, benefits, and limitations. These sessions helped build awareness and set realistic expectations, reducing the likelihood of misunderstanding or dissatisfaction. By involving residents early in the process, the project fostered a sense of ownership and trust that contributed to higher levels of acceptance. The outcomes of the Sunrise Residency project have been largely positive. Residents reported higher levels of satisfaction compared to other estates, and complaints related to system performance were relatively low. The centralized monitoring system enabled faster detection of technical issues, reducing downtime and improving reliability. The availability of performance data also facilitated ongoing evaluation and optimization, allowing stakeholders to make informed decisions based on empirical evidence. These factors collectively contributed to the project’s reputation as a successful model of sustainable housing.</w:t>
      </w:r>
    </w:p>
    <w:p w14:paraId="39FC73A9">
      <w:pPr>
        <w:spacing w:after="0" w:line="240" w:lineRule="auto"/>
        <w:jc w:val="both"/>
        <w:rPr>
          <w:rFonts w:ascii="Times New Roman" w:hAnsi="Times New Roman" w:eastAsia="Times New Roman" w:cs="Times New Roman"/>
          <w:kern w:val="0"/>
          <w:sz w:val="24"/>
          <w:szCs w:val="24"/>
          <w14:ligatures w14:val="none"/>
        </w:rPr>
      </w:pPr>
    </w:p>
    <w:p w14:paraId="28788CD6">
      <w:pPr>
        <w:spacing w:after="0"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Despite its success, the project faced several challenges. The initial capital investment required for full-scale implementation was substantial, raising concerns about affordability and scalability. The reliance on imported technical components also introduced vulnerabilities related to supply chain disruptions and currency fluctuations. In addition, the need for periodic retraining of estate staff highlighted the importance of continuous capacity building in managing advanced technological systems.</w:t>
      </w:r>
      <w:r>
        <w:rPr>
          <w:rFonts w:hint="default" w:ascii="Times New Roman" w:hAnsi="Times New Roman" w:eastAsia="Times New Roman" w:cs="Times New Roman"/>
          <w:kern w:val="0"/>
          <w:sz w:val="24"/>
          <w:szCs w:val="24"/>
          <w:lang w:val="en-US"/>
          <w14:ligatures w14:val="none"/>
        </w:rPr>
        <w:t xml:space="preserve"> </w:t>
      </w:r>
      <w:r>
        <w:rPr>
          <w:rFonts w:ascii="Times New Roman" w:hAnsi="Times New Roman" w:eastAsia="Times New Roman" w:cs="Times New Roman"/>
          <w:kern w:val="0"/>
          <w:sz w:val="24"/>
          <w:szCs w:val="24"/>
          <w14:ligatures w14:val="none"/>
        </w:rPr>
        <w:t>Nevertheless, the Sunrise Residency case demonstrates that these challenges can be effectively managed through integrated planning and institutional alignment. By combining technical innovation with strong governance structures and user engagement strategies, the project achieved a balance between efficiency and acceptance. It illustrates the importance of viewing renewable energy systems not as standalone technologies but as part of a broader socio-technical ecosystem.</w:t>
      </w:r>
      <w:r>
        <w:rPr>
          <w:rFonts w:hint="default" w:ascii="Times New Roman" w:hAnsi="Times New Roman" w:eastAsia="Times New Roman" w:cs="Times New Roman"/>
          <w:kern w:val="0"/>
          <w:sz w:val="24"/>
          <w:szCs w:val="24"/>
          <w:lang w:val="en-US"/>
          <w14:ligatures w14:val="none"/>
        </w:rPr>
        <w:t xml:space="preserve"> </w:t>
      </w:r>
      <w:r>
        <w:rPr>
          <w:rFonts w:ascii="Times New Roman" w:hAnsi="Times New Roman" w:eastAsia="Times New Roman" w:cs="Times New Roman"/>
          <w:kern w:val="0"/>
          <w:sz w:val="24"/>
          <w:szCs w:val="24"/>
          <w14:ligatures w14:val="none"/>
        </w:rPr>
        <w:t>The success of Sunrise Residency provides valuable insights for policymakers and practitioners seeking to scale sustainable housing solutions. It highlights the importance of adopting a holistic approach that integrates technical design, maintenance planning, and stakeholder involvement. It also underscores the role of public-private partnerships in mobilizing resources and expertise for large-scale implementation. Overall, the project serves as a benchmark for best practices in the adoption of solar-powered smart building systems in emerging economies.</w:t>
      </w:r>
    </w:p>
    <w:p w14:paraId="33BFAAF6">
      <w:pPr>
        <w:spacing w:after="0" w:line="240" w:lineRule="auto"/>
        <w:jc w:val="both"/>
        <w:rPr>
          <w:rFonts w:ascii="Times New Roman" w:hAnsi="Times New Roman" w:eastAsia="Times New Roman" w:cs="Times New Roman"/>
          <w:kern w:val="0"/>
          <w:sz w:val="24"/>
          <w:szCs w:val="24"/>
          <w14:ligatures w14:val="none"/>
        </w:rPr>
      </w:pPr>
    </w:p>
    <w:p w14:paraId="5AAB5777">
      <w:pPr>
        <w:spacing w:after="0" w:line="240" w:lineRule="auto"/>
        <w:jc w:val="both"/>
        <w:rPr>
          <w:rFonts w:ascii="Times New Roman" w:hAnsi="Times New Roman" w:eastAsia="Times New Roman" w:cs="Times New Roman"/>
          <w:kern w:val="0"/>
          <w:sz w:val="24"/>
          <w:szCs w:val="24"/>
          <w14:ligatures w14:val="none"/>
        </w:rPr>
      </w:pPr>
    </w:p>
    <w:p w14:paraId="5B0E6234">
      <w:pPr>
        <w:spacing w:after="0" w:line="240" w:lineRule="auto"/>
        <w:jc w:val="both"/>
        <w:outlineLvl w:val="0"/>
        <w:rPr>
          <w:rFonts w:ascii="Times New Roman" w:hAnsi="Times New Roman" w:eastAsia="Times New Roman" w:cs="Times New Roman"/>
          <w:b/>
          <w:bCs/>
          <w:kern w:val="36"/>
          <w:sz w:val="24"/>
          <w:szCs w:val="24"/>
          <w14:ligatures w14:val="none"/>
        </w:rPr>
      </w:pPr>
      <w:r>
        <w:rPr>
          <w:rFonts w:ascii="Times New Roman" w:hAnsi="Times New Roman" w:eastAsia="Times New Roman" w:cs="Times New Roman"/>
          <w:b/>
          <w:bCs/>
          <w:kern w:val="36"/>
          <w:sz w:val="24"/>
          <w:szCs w:val="24"/>
          <w14:ligatures w14:val="none"/>
        </w:rPr>
        <w:t>Case Study 3: Riverside Low-Cost Housing Solar Retrofit</w:t>
      </w:r>
    </w:p>
    <w:p w14:paraId="3F6F22E6">
      <w:pPr>
        <w:spacing w:after="0"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Riverside Estate presents a contrasting case characterized by limited planning, constrained resources, and weak institutional support. As an older low-cost housing development, Riverside was selected in 2022 for a retrofit initiative aimed at improving energy efficiency and enhancing public safety. Unlike newly constructed estates, retrofit projects often face additional challenges related to existing infrastructure, budget limitations, and social dynamics. The intervention focused primarily on the installation of solar-powered street lighting in shared spaces, including pathways and communal areas. While this approach provided immediate benefits, it did not extend to household-level energy systems, as no smart meters or rooftop solar panels were introduced. The limited scope of the project reflected both financial constraints and a narrow conceptualization of sustainability that prioritized visible improvements over comprehensive transformation.</w:t>
      </w:r>
      <w:r>
        <w:rPr>
          <w:rFonts w:hint="default" w:ascii="Times New Roman" w:hAnsi="Times New Roman" w:eastAsia="Times New Roman" w:cs="Times New Roman"/>
          <w:kern w:val="0"/>
          <w:sz w:val="24"/>
          <w:szCs w:val="24"/>
          <w:lang w:val="en-US"/>
          <w14:ligatures w14:val="none"/>
        </w:rPr>
        <w:t xml:space="preserve"> </w:t>
      </w:r>
      <w:r>
        <w:rPr>
          <w:rFonts w:ascii="Times New Roman" w:hAnsi="Times New Roman" w:eastAsia="Times New Roman" w:cs="Times New Roman"/>
          <w:kern w:val="0"/>
          <w:sz w:val="24"/>
          <w:szCs w:val="24"/>
          <w14:ligatures w14:val="none"/>
        </w:rPr>
        <w:t>In the short term, the project achieved some positive outcomes. The introduction of solar lighting improved nighttime visibility and safety, addressing a key concern among residents. It also reduced electricity consumption in public areas, contributing to modest cost savings for the estate. These benefits were particularly significant for low-income households, which often face greater vulnerability to energy insecurity.</w:t>
      </w:r>
      <w:r>
        <w:rPr>
          <w:rFonts w:hint="default" w:ascii="Times New Roman" w:hAnsi="Times New Roman" w:eastAsia="Times New Roman" w:cs="Times New Roman"/>
          <w:kern w:val="0"/>
          <w:sz w:val="24"/>
          <w:szCs w:val="24"/>
          <w:lang w:val="en-US"/>
          <w14:ligatures w14:val="none"/>
        </w:rPr>
        <w:t xml:space="preserve"> </w:t>
      </w:r>
      <w:r>
        <w:rPr>
          <w:rFonts w:ascii="Times New Roman" w:hAnsi="Times New Roman" w:eastAsia="Times New Roman" w:cs="Times New Roman"/>
          <w:kern w:val="0"/>
          <w:sz w:val="24"/>
          <w:szCs w:val="24"/>
          <w14:ligatures w14:val="none"/>
        </w:rPr>
        <w:t>However, the long-term sustainability of the project has been undermined by several critical challenges. One of the most pressing issues has been vandalism and theft of solar components, which disrupted system functionality and increased maintenance costs. The absence of a clear ownership structure at the estate level meant that responsibility for protecting and maintaining the infrastructure was not well defined. This lack of accountability contributed to the deterioration of the system over time.</w:t>
      </w:r>
      <w:r>
        <w:rPr>
          <w:rFonts w:hint="default" w:ascii="Times New Roman" w:hAnsi="Times New Roman" w:eastAsia="Times New Roman" w:cs="Times New Roman"/>
          <w:kern w:val="0"/>
          <w:sz w:val="24"/>
          <w:szCs w:val="24"/>
          <w:lang w:val="en-US"/>
          <w14:ligatures w14:val="none"/>
        </w:rPr>
        <w:t xml:space="preserve"> </w:t>
      </w:r>
      <w:r>
        <w:rPr>
          <w:rFonts w:ascii="Times New Roman" w:hAnsi="Times New Roman" w:eastAsia="Times New Roman" w:cs="Times New Roman"/>
          <w:kern w:val="0"/>
          <w:sz w:val="24"/>
          <w:szCs w:val="24"/>
          <w14:ligatures w14:val="none"/>
        </w:rPr>
        <w:t>Another major limitation was the absence of a dedicated maintenance budget. Without allocated resources for repairs and upkeep, minor issues were often left unresolved, leading to gradual system degradation. The lack of technical support further exacerbated these problems, as estate managers were not equipped to handle specialized maintenance tasks.</w:t>
      </w:r>
      <w:r>
        <w:rPr>
          <w:rFonts w:hint="default" w:ascii="Times New Roman" w:hAnsi="Times New Roman" w:eastAsia="Times New Roman" w:cs="Times New Roman"/>
          <w:kern w:val="0"/>
          <w:sz w:val="24"/>
          <w:szCs w:val="24"/>
          <w:lang w:val="en-US"/>
          <w14:ligatures w14:val="none"/>
        </w:rPr>
        <w:t xml:space="preserve"> </w:t>
      </w:r>
      <w:r>
        <w:rPr>
          <w:rFonts w:ascii="Times New Roman" w:hAnsi="Times New Roman" w:eastAsia="Times New Roman" w:cs="Times New Roman"/>
          <w:kern w:val="0"/>
          <w:sz w:val="24"/>
          <w:szCs w:val="24"/>
          <w14:ligatures w14:val="none"/>
        </w:rPr>
        <w:t>A key factor underlying these challenges was the lack of stakeholder engagement during the planning and implementation phases. Residents were not consulted prior to the installation of the system, and their perspectives were not incorporated into decision-making processes. This top-down approach resulted in low levels of awareness and minimal sense of ownership among residents. As a result, the system was perceived as an external intervention rather than a shared community asset.</w:t>
      </w:r>
      <w:r>
        <w:rPr>
          <w:rFonts w:hint="default" w:ascii="Times New Roman" w:hAnsi="Times New Roman" w:eastAsia="Times New Roman" w:cs="Times New Roman"/>
          <w:kern w:val="0"/>
          <w:sz w:val="24"/>
          <w:szCs w:val="24"/>
          <w:lang w:val="en-US"/>
          <w14:ligatures w14:val="none"/>
        </w:rPr>
        <w:t xml:space="preserve"> </w:t>
      </w:r>
      <w:r>
        <w:rPr>
          <w:rFonts w:ascii="Times New Roman" w:hAnsi="Times New Roman" w:eastAsia="Times New Roman" w:cs="Times New Roman"/>
          <w:kern w:val="0"/>
          <w:sz w:val="24"/>
          <w:szCs w:val="24"/>
          <w14:ligatures w14:val="none"/>
        </w:rPr>
        <w:t>Currently, while some of the initial benefits of the project persist, its long-term viability remains uncertain. The Riverside case illustrates the limitations of narrowly focused interventions that do not address broader governance and social dimensions. It highlights the importance of integrating community participation, institutional support, and resource allocation into the design of sustainable infrastructure projects.</w:t>
      </w:r>
      <w:r>
        <w:rPr>
          <w:rFonts w:hint="default" w:ascii="Times New Roman" w:hAnsi="Times New Roman" w:eastAsia="Times New Roman" w:cs="Times New Roman"/>
          <w:kern w:val="0"/>
          <w:sz w:val="24"/>
          <w:szCs w:val="24"/>
          <w:lang w:val="en-US"/>
          <w14:ligatures w14:val="none"/>
        </w:rPr>
        <w:t xml:space="preserve"> </w:t>
      </w:r>
      <w:r>
        <w:rPr>
          <w:rFonts w:ascii="Times New Roman" w:hAnsi="Times New Roman" w:eastAsia="Times New Roman" w:cs="Times New Roman"/>
          <w:kern w:val="0"/>
          <w:sz w:val="24"/>
          <w:szCs w:val="24"/>
          <w14:ligatures w14:val="none"/>
        </w:rPr>
        <w:t>Overall, Riverside serves as a cautionary example of how well-intentioned initiatives can fall short in the absence of comprehensive planning and stakeholder involvement. It underscores the need for a holistic approach that considers not only technical feasibility but also social acceptance, governance structures, and financial sustainability.</w:t>
      </w:r>
    </w:p>
    <w:p w14:paraId="0C970A1F">
      <w:pPr>
        <w:spacing w:before="100" w:beforeAutospacing="1" w:after="100" w:afterAutospacing="1" w:line="240" w:lineRule="auto"/>
        <w:jc w:val="both"/>
        <w:outlineLvl w:val="1"/>
        <w:rPr>
          <w:rFonts w:eastAsia="Times New Roman" w:asciiTheme="majorBidi" w:hAnsiTheme="majorBidi" w:cstheme="majorBidi"/>
          <w:b/>
          <w:bCs/>
          <w:kern w:val="0"/>
          <w:sz w:val="24"/>
          <w:szCs w:val="24"/>
          <w14:ligatures w14:val="none"/>
        </w:rPr>
      </w:pPr>
    </w:p>
    <w:sectPr>
      <w:footerReference r:id="rId5" w:type="default"/>
      <w:pgSz w:w="12240" w:h="15840"/>
      <w:pgMar w:top="72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ptos">
    <w:altName w:val="SimSun"/>
    <w:panose1 w:val="00000000000000000000"/>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9736104"/>
      <w:docPartObj>
        <w:docPartGallery w:val="AutoText"/>
      </w:docPartObj>
    </w:sdtPr>
    <w:sdtContent>
      <w:p w14:paraId="3BE254E2">
        <w:pPr>
          <w:pStyle w:val="14"/>
          <w:jc w:val="center"/>
        </w:pPr>
        <w:r>
          <w:fldChar w:fldCharType="begin"/>
        </w:r>
        <w:r>
          <w:instrText xml:space="preserve"> PAGE   \* MERGEFORMAT </w:instrText>
        </w:r>
        <w:r>
          <w:fldChar w:fldCharType="separate"/>
        </w:r>
        <w:r>
          <w:t>2</w:t>
        </w:r>
        <w:r>
          <w:fldChar w:fldCharType="end"/>
        </w:r>
      </w:p>
    </w:sdtContent>
  </w:sdt>
  <w:p w14:paraId="6EBD8DC8">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E5133F"/>
    <w:multiLevelType w:val="multilevel"/>
    <w:tmpl w:val="2CE5133F"/>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CAD"/>
    <w:rsid w:val="00080113"/>
    <w:rsid w:val="000E4DB7"/>
    <w:rsid w:val="00217EE2"/>
    <w:rsid w:val="00396645"/>
    <w:rsid w:val="00404692"/>
    <w:rsid w:val="00474F5D"/>
    <w:rsid w:val="00545A57"/>
    <w:rsid w:val="00663904"/>
    <w:rsid w:val="006C384B"/>
    <w:rsid w:val="008B4D7A"/>
    <w:rsid w:val="00910005"/>
    <w:rsid w:val="00911EE9"/>
    <w:rsid w:val="00916222"/>
    <w:rsid w:val="0093262E"/>
    <w:rsid w:val="009F31E4"/>
    <w:rsid w:val="00B871C1"/>
    <w:rsid w:val="00CB7CAD"/>
    <w:rsid w:val="00DB5A0B"/>
    <w:rsid w:val="1B582A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US" w:eastAsia="en-US" w:bidi="ar-SA"/>
      <w14:ligatures w14:val="standardContextual"/>
    </w:rPr>
  </w:style>
  <w:style w:type="paragraph" w:styleId="2">
    <w:name w:val="heading 1"/>
    <w:basedOn w:val="1"/>
    <w:next w:val="1"/>
    <w:link w:val="19"/>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1"/>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2"/>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3"/>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4"/>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5"/>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Emphasis"/>
    <w:basedOn w:val="11"/>
    <w:qFormat/>
    <w:uiPriority w:val="20"/>
    <w:rPr>
      <w:i/>
      <w:iCs/>
    </w:rPr>
  </w:style>
  <w:style w:type="paragraph" w:styleId="14">
    <w:name w:val="footer"/>
    <w:basedOn w:val="1"/>
    <w:link w:val="38"/>
    <w:unhideWhenUsed/>
    <w:qFormat/>
    <w:uiPriority w:val="99"/>
    <w:pPr>
      <w:tabs>
        <w:tab w:val="center" w:pos="4680"/>
        <w:tab w:val="right" w:pos="9360"/>
      </w:tabs>
      <w:spacing w:after="0" w:line="240" w:lineRule="auto"/>
    </w:pPr>
  </w:style>
  <w:style w:type="paragraph" w:styleId="15">
    <w:name w:val="header"/>
    <w:basedOn w:val="1"/>
    <w:link w:val="37"/>
    <w:unhideWhenUsed/>
    <w:qFormat/>
    <w:uiPriority w:val="99"/>
    <w:pPr>
      <w:tabs>
        <w:tab w:val="center" w:pos="4680"/>
        <w:tab w:val="right" w:pos="9360"/>
      </w:tabs>
      <w:spacing w:after="0" w:line="240" w:lineRule="auto"/>
    </w:pPr>
  </w:style>
  <w:style w:type="character" w:styleId="16">
    <w:name w:val="Strong"/>
    <w:basedOn w:val="11"/>
    <w:qFormat/>
    <w:uiPriority w:val="22"/>
    <w:rPr>
      <w:b/>
      <w:bCs/>
    </w:rPr>
  </w:style>
  <w:style w:type="paragraph" w:styleId="17">
    <w:name w:val="Subtitle"/>
    <w:basedOn w:val="1"/>
    <w:next w:val="1"/>
    <w:link w:val="29"/>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Title"/>
    <w:basedOn w:val="1"/>
    <w:next w:val="1"/>
    <w:link w:val="28"/>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9">
    <w:name w:val="Heading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20">
    <w:name w:val="Heading 2 Char"/>
    <w:basedOn w:val="11"/>
    <w:link w:val="3"/>
    <w:semiHidden/>
    <w:uiPriority w:val="9"/>
    <w:rPr>
      <w:rFonts w:asciiTheme="majorHAnsi" w:hAnsiTheme="majorHAnsi" w:eastAsiaTheme="majorEastAsia" w:cstheme="majorBidi"/>
      <w:color w:val="104862" w:themeColor="accent1" w:themeShade="BF"/>
      <w:sz w:val="32"/>
      <w:szCs w:val="32"/>
    </w:rPr>
  </w:style>
  <w:style w:type="character" w:customStyle="1" w:styleId="21">
    <w:name w:val="Heading 3 Char"/>
    <w:basedOn w:val="11"/>
    <w:link w:val="4"/>
    <w:semiHidden/>
    <w:qFormat/>
    <w:uiPriority w:val="9"/>
    <w:rPr>
      <w:rFonts w:eastAsiaTheme="majorEastAsia" w:cstheme="majorBidi"/>
      <w:color w:val="104862" w:themeColor="accent1" w:themeShade="BF"/>
      <w:sz w:val="28"/>
      <w:szCs w:val="28"/>
    </w:rPr>
  </w:style>
  <w:style w:type="character" w:customStyle="1" w:styleId="22">
    <w:name w:val="Heading 4 Char"/>
    <w:basedOn w:val="11"/>
    <w:link w:val="5"/>
    <w:semiHidden/>
    <w:qFormat/>
    <w:uiPriority w:val="9"/>
    <w:rPr>
      <w:rFonts w:eastAsiaTheme="majorEastAsia" w:cstheme="majorBidi"/>
      <w:i/>
      <w:iCs/>
      <w:color w:val="104862" w:themeColor="accent1" w:themeShade="BF"/>
    </w:rPr>
  </w:style>
  <w:style w:type="character" w:customStyle="1" w:styleId="23">
    <w:name w:val="Heading 5 Char"/>
    <w:basedOn w:val="11"/>
    <w:link w:val="6"/>
    <w:semiHidden/>
    <w:qFormat/>
    <w:uiPriority w:val="9"/>
    <w:rPr>
      <w:rFonts w:eastAsiaTheme="majorEastAsia" w:cstheme="majorBidi"/>
      <w:color w:val="104862" w:themeColor="accent1" w:themeShade="BF"/>
    </w:rPr>
  </w:style>
  <w:style w:type="character" w:customStyle="1" w:styleId="24">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5">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7">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8">
    <w:name w:val="Title Char"/>
    <w:basedOn w:val="11"/>
    <w:link w:val="18"/>
    <w:uiPriority w:val="10"/>
    <w:rPr>
      <w:rFonts w:asciiTheme="majorHAnsi" w:hAnsiTheme="majorHAnsi" w:eastAsiaTheme="majorEastAsia" w:cstheme="majorBidi"/>
      <w:spacing w:val="-10"/>
      <w:kern w:val="28"/>
      <w:sz w:val="56"/>
      <w:szCs w:val="56"/>
    </w:rPr>
  </w:style>
  <w:style w:type="character" w:customStyle="1" w:styleId="29">
    <w:name w:val="Subtitle Char"/>
    <w:basedOn w:val="11"/>
    <w:link w:val="1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Quote Char"/>
    <w:basedOn w:val="11"/>
    <w:link w:val="30"/>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1"/>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Intense Quote Char"/>
    <w:basedOn w:val="11"/>
    <w:link w:val="34"/>
    <w:uiPriority w:val="30"/>
    <w:rPr>
      <w:i/>
      <w:iCs/>
      <w:color w:val="104862" w:themeColor="accent1" w:themeShade="BF"/>
    </w:rPr>
  </w:style>
  <w:style w:type="character" w:customStyle="1" w:styleId="36">
    <w:name w:val="Intense Reference"/>
    <w:basedOn w:val="11"/>
    <w:qFormat/>
    <w:uiPriority w:val="32"/>
    <w:rPr>
      <w:b/>
      <w:bCs/>
      <w:smallCaps/>
      <w:color w:val="104862" w:themeColor="accent1" w:themeShade="BF"/>
      <w:spacing w:val="5"/>
    </w:rPr>
  </w:style>
  <w:style w:type="character" w:customStyle="1" w:styleId="37">
    <w:name w:val="Header Char"/>
    <w:basedOn w:val="11"/>
    <w:link w:val="15"/>
    <w:qFormat/>
    <w:uiPriority w:val="99"/>
  </w:style>
  <w:style w:type="character" w:customStyle="1" w:styleId="38">
    <w:name w:val="Footer Char"/>
    <w:basedOn w:val="11"/>
    <w:link w:val="14"/>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2163</Words>
  <Characters>12330</Characters>
  <Lines>102</Lines>
  <Paragraphs>28</Paragraphs>
  <TotalTime>23</TotalTime>
  <ScaleCrop>false</ScaleCrop>
  <LinksUpToDate>false</LinksUpToDate>
  <CharactersWithSpaces>14465</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2026-04-06T05:28:00Z</dcterms:created>
  <dc:creator>Lukman Raimi</dc:creator>
  <cp:lastModifiedBy>Lukman Abdurraheem</cp:lastModifiedBy>
  <dcterms:modified xsi:type="dcterms:W3CDTF">2026-04-13T00:22:33Z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6844a112-94c5-4df6-aef3-85ce79629b6f</vt:lpwstr>
  </property>
  <property fmtid="{D5CDD505-2E9C-101B-9397-08002B2CF9AE}" pid="3" name="KSOProductBuildVer">
    <vt:lpwstr>1033-12.2.0.23196</vt:lpwstr>
  </property>
  <property fmtid="{D5CDD505-2E9C-101B-9397-08002B2CF9AE}" pid="4" name="ICV">
    <vt:lpwstr>E40D7F3D10E24E47A9B51B042CA5CC4F_13</vt:lpwstr>
  </property>
</Properties>
</file>