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D573">
      <w:pPr>
        <w:spacing w:after="0" w:line="240" w:lineRule="auto"/>
        <w:outlineLvl w:val="2"/>
        <w:rPr>
          <w:rFonts w:ascii="Times New Roman" w:hAnsi="Times New Roman" w:eastAsia="Times New Roman" w:cs="Times New Roman"/>
          <w:b/>
          <w:bCs/>
          <w:color w:val="000000" w:themeColor="text1"/>
          <w:kern w:val="0"/>
          <w:sz w:val="27"/>
          <w:szCs w:val="27"/>
          <w14:textFill>
            <w14:solidFill>
              <w14:schemeClr w14:val="tx1"/>
            </w14:solidFill>
          </w14:textFill>
          <w14:ligatures w14:val="none"/>
        </w:rPr>
      </w:pPr>
      <w:r>
        <w:rPr>
          <w:rFonts w:ascii="Times New Roman" w:hAnsi="Times New Roman" w:eastAsia="Times New Roman" w:cs="Times New Roman"/>
          <w:b/>
          <w:bCs/>
          <w:color w:val="000000" w:themeColor="text1"/>
          <w:kern w:val="0"/>
          <w:sz w:val="27"/>
          <w:szCs w:val="27"/>
          <w14:textFill>
            <w14:solidFill>
              <w14:schemeClr w14:val="tx1"/>
            </w14:solidFill>
          </w14:textFill>
          <w14:ligatures w14:val="none"/>
        </w:rPr>
        <w:t>References</w:t>
      </w:r>
    </w:p>
    <w:p w14:paraId="659B33B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Ahmed, R., &amp; Whitehead, C. (2022). Applying postcolonial theory in academic medicine.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Journal of the Royal Society of Medicine, 115</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(5), 193–194.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"https://consensus.app/papers/applying-postcolonial-theory-in-academic-medicine-rashid-whitehead/58ae4bb79d055dcaa42a00c6c71ea0b4/?utm_source=chatgpt"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10.1177/01410768221084081</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color w:val="000000" w:themeColor="text1"/>
          <w14:textFill>
            <w14:solidFill>
              <w14:schemeClr w14:val="tx1"/>
            </w14:solidFill>
          </w14:textFill>
        </w:rPr>
        <w:t>.</w:t>
      </w:r>
    </w:p>
    <w:p w14:paraId="0E1B78A7">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Ajibade, L. A., Adewale, O. M., Adebisi, M. O., Adeigbe, F. O., Odeyinka, B. E., Oseni, A. B., ... &amp; Adebisi-Adelani, O. (2025) Navigating the genetically modified organisms crop debate: A comparative analysis of Nigeria and global perspectives. </w:t>
      </w:r>
      <w:r>
        <w:rPr>
          <w:rFonts w:asciiTheme="majorBidi" w:hAnsiTheme="majorBidi" w:cstheme="majorBidi"/>
          <w:i/>
          <w:iCs/>
          <w:color w:val="000000" w:themeColor="text1"/>
          <w:sz w:val="24"/>
          <w:szCs w:val="24"/>
          <w:shd w:val="clear" w:color="auto" w:fill="FFFFFF"/>
          <w14:textFill>
            <w14:solidFill>
              <w14:schemeClr w14:val="tx1"/>
            </w14:solidFill>
          </w14:textFill>
        </w:rPr>
        <w:t>African Journal of Agricultural Economics and Rural Development ISSN</w:t>
      </w:r>
      <w:r>
        <w:rPr>
          <w:rFonts w:asciiTheme="majorBidi" w:hAnsiTheme="majorBidi" w:cstheme="majorBidi"/>
          <w:color w:val="000000" w:themeColor="text1"/>
          <w:sz w:val="24"/>
          <w:szCs w:val="24"/>
          <w:shd w:val="clear" w:color="auto" w:fill="FFFFFF"/>
          <w14:textFill>
            <w14:solidFill>
              <w14:schemeClr w14:val="tx1"/>
            </w14:solidFill>
          </w14:textFill>
        </w:rPr>
        <w:t xml:space="preserve">, Vol </w:t>
      </w:r>
      <w:r>
        <w:rPr>
          <w:rFonts w:asciiTheme="majorBidi" w:hAnsiTheme="majorBidi" w:cstheme="majorBidi"/>
          <w:i/>
          <w:iCs/>
          <w:color w:val="000000" w:themeColor="text1"/>
          <w:sz w:val="24"/>
          <w:szCs w:val="24"/>
          <w:shd w:val="clear" w:color="auto" w:fill="FFFFFF"/>
          <w14:textFill>
            <w14:solidFill>
              <w14:schemeClr w14:val="tx1"/>
            </w14:solidFill>
          </w14:textFill>
        </w:rPr>
        <w:t>13</w:t>
      </w:r>
      <w:r>
        <w:rPr>
          <w:rFonts w:asciiTheme="majorBidi" w:hAnsiTheme="majorBidi" w:cstheme="majorBidi"/>
          <w:color w:val="000000" w:themeColor="text1"/>
          <w:sz w:val="24"/>
          <w:szCs w:val="24"/>
          <w:shd w:val="clear" w:color="auto" w:fill="FFFFFF"/>
          <w14:textFill>
            <w14:solidFill>
              <w14:schemeClr w14:val="tx1"/>
            </w14:solidFill>
          </w14:textFill>
        </w:rPr>
        <w:t>(1), 001-010.</w:t>
      </w:r>
    </w:p>
    <w:p w14:paraId="4EF06699">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Andrée, P., Ayres, J., Bosia, M., &amp; Mássicotte, M. J. (Eds.). (2014).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Globalization and food sovereignty: Global and local change in the new politics of food</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University of Toronto Press.</w:t>
      </w:r>
    </w:p>
    <w:p w14:paraId="779CE3CE">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Ayres, J., &amp; Bosia, M. J. (2011). Beyond global summitry: Food sovereignty as localized resistance to globalization.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Globalizations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8</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(1), 47-63.</w:t>
      </w:r>
    </w:p>
    <w:p w14:paraId="58DC4913">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Azadi, H., Ghanian, M., Ghoochani, O. M., Rafiaani, P., Taning, C. N., Hajivand, R. Y., &amp; Dogot, T. (2015). Genetically modified crops: towards agricultural growth, agricultural development, or agricultural sustainability?. Food Reviews International, 31(3), 195-221.</w:t>
      </w:r>
    </w:p>
    <w:p w14:paraId="15EC45D5">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Bartsch, D. GMO regulatory challenges and science: a European perspective. </w:t>
      </w:r>
      <w:r>
        <w:rPr>
          <w:rFonts w:asciiTheme="majorBidi" w:hAnsiTheme="majorBidi" w:cstheme="majorBidi"/>
          <w:i/>
          <w:iCs/>
          <w:color w:val="000000" w:themeColor="text1"/>
          <w:sz w:val="24"/>
          <w:szCs w:val="24"/>
          <w:shd w:val="clear" w:color="auto" w:fill="FFFFFF"/>
          <w14:textFill>
            <w14:solidFill>
              <w14:schemeClr w14:val="tx1"/>
            </w14:solidFill>
          </w14:textFill>
        </w:rPr>
        <w:t xml:space="preserve">J. Verbr. </w:t>
      </w:r>
      <w:bookmarkStart w:id="0" w:name="_GoBack"/>
      <w:bookmarkEnd w:id="0"/>
      <w:r>
        <w:rPr>
          <w:rFonts w:asciiTheme="majorBidi" w:hAnsiTheme="majorBidi" w:cstheme="majorBidi"/>
          <w:i/>
          <w:iCs/>
          <w:color w:val="000000" w:themeColor="text1"/>
          <w:sz w:val="24"/>
          <w:szCs w:val="24"/>
          <w:shd w:val="clear" w:color="auto" w:fill="FFFFFF"/>
          <w14:textFill>
            <w14:solidFill>
              <w14:schemeClr w14:val="tx1"/>
            </w14:solidFill>
          </w14:textFill>
        </w:rPr>
        <w:t>Lebensm.</w:t>
      </w:r>
      <w:r>
        <w:rPr>
          <w:rFonts w:asciiTheme="majorBidi" w:hAnsiTheme="majorBidi" w:cstheme="majorBidi"/>
          <w:color w:val="000000" w:themeColor="text1"/>
          <w:sz w:val="24"/>
          <w:szCs w:val="24"/>
          <w:shd w:val="clear" w:color="auto" w:fill="FFFFFF"/>
          <w14:textFill>
            <w14:solidFill>
              <w14:schemeClr w14:val="tx1"/>
            </w14:solidFill>
          </w14:textFill>
        </w:rPr>
        <w:t> </w:t>
      </w:r>
      <w:r>
        <w:rPr>
          <w:rFonts w:asciiTheme="majorBidi" w:hAnsiTheme="majorBidi" w:cstheme="majorBidi"/>
          <w:b/>
          <w:bCs/>
          <w:color w:val="000000" w:themeColor="text1"/>
          <w:sz w:val="24"/>
          <w:szCs w:val="24"/>
          <w:shd w:val="clear" w:color="auto" w:fill="FFFFFF"/>
          <w14:textFill>
            <w14:solidFill>
              <w14:schemeClr w14:val="tx1"/>
            </w14:solidFill>
          </w14:textFill>
        </w:rPr>
        <w:t>9</w:t>
      </w:r>
      <w:r>
        <w:rPr>
          <w:rFonts w:asciiTheme="majorBidi" w:hAnsiTheme="majorBidi" w:cstheme="majorBidi"/>
          <w:color w:val="000000" w:themeColor="text1"/>
          <w:sz w:val="24"/>
          <w:szCs w:val="24"/>
          <w:shd w:val="clear" w:color="auto" w:fill="FFFFFF"/>
          <w14:textFill>
            <w14:solidFill>
              <w14:schemeClr w14:val="tx1"/>
            </w14:solidFill>
          </w14:textFill>
        </w:rPr>
        <w:t xml:space="preserve"> (Suppl 1), 51–58 (2014).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"https://doi.org/10.1007/s00003-014-0885-9"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shd w:val="clear" w:color="auto" w:fill="FFFFFF"/>
          <w14:textFill>
            <w14:solidFill>
              <w14:schemeClr w14:val="tx1"/>
            </w14:solidFill>
          </w14:textFill>
        </w:rPr>
        <w:t>https://doi.org/10.1007/s00003-014-0885-9</w:t>
      </w:r>
      <w:r>
        <w:rPr>
          <w:rStyle w:val="16"/>
          <w:rFonts w:asciiTheme="majorBidi" w:hAnsiTheme="majorBidi" w:cstheme="majorBidi"/>
          <w:color w:val="000000" w:themeColor="text1"/>
          <w:sz w:val="24"/>
          <w:szCs w:val="24"/>
          <w:shd w:val="clear" w:color="auto" w:fill="FFFFFF"/>
          <w14:textFill>
            <w14:solidFill>
              <w14:schemeClr w14:val="tx1"/>
            </w14:solidFill>
          </w14:textFill>
        </w:rPr>
        <w:fldChar w:fldCharType="end"/>
      </w:r>
    </w:p>
    <w:p w14:paraId="243FAD62">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Bernstein, H. (2017). Food sovereignty via the ‘peasant way’: A sceptical view. In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Critical perspectives on food sovereignty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(pp. 131-164). Routledge.</w:t>
      </w:r>
    </w:p>
    <w:p w14:paraId="39EB5A80">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Bezner Kerr, R., &amp; Wynberg, R. (2024). Fields of contestation and contamination: Maize seeds, agroecology and the (de)coloniality of agriculture in Malawi and South Africa.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Elem Sci Anth.</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"https://consensus.app/papers/fields-of-contestation-and-contamination-maize-seeds-kerr-wynberg/ff48cdd098595246bb6daa0f3b9f6119/?utm_source=chatgpt"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10.1525/elementa.2023.00051</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14FBA86F">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Blancke, S., Van Breusegem, F., De Jaeger, G., Braeckman, J., &amp; Van Montagu, M. (2015). Fatal attraction: The intuitive appeal of GMO opposition.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Trends in Plant Science, 20</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(7), 414–418.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"https://doi.org/10.1016/j.tplants.2015.03.011"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https://doi.org/10.1016/j.tplants.2015.03.011</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15796C30">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Bose, P., &amp; Van Der Meulen, B. (2014). The law to end hunger now: Food sovereignty and genetically modified crops in tribal India—A socio-legal analysis.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Penn State Law Review, 118</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(4), 893–918. </w:t>
      </w:r>
    </w:p>
    <w:p w14:paraId="6E383A50">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Brookes, G., &amp; Barfoot, P. (2015). Global income and production impacts of using GM crop technology 1996–2014.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GM Crops &amp; Food, 7</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(1), 38–77.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"https://doi.org/10.1080/21645698.2016.1176817"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https://doi.org/10.1080/21645698.2016.1176817</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7E21F6D6">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Brookes, G., &amp; Barfoot, P. (2018). Farm income and production impacts of using GM crop technology 1996–2016.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GM Crops &amp; Food, 9</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(2), 59–89.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"https://doi.org/10.1080/21645698.2018.1464866"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https://doi.org/10.1080/21645698.2018.1464866</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78075F9B">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Brookes, G., &amp; Barfoot, P. (2020). GM crop technology use 1996–2018: Farm income and production impacts.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GM Crops &amp; Food, 11</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(4), 242–261.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"https://doi.org/10.1080/21645698.2020.1779574"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https://doi.org/10.1080/21645698.2020.1779574</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4DEBC4DA">
      <w:pPr>
        <w:spacing w:after="0" w:line="240" w:lineRule="auto"/>
        <w:ind w:left="720" w:hanging="63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Burnett, K., &amp; Murphy, S. (2014). What place for international trade in food sovereignty? </w:t>
      </w:r>
      <w:r>
        <w:rPr>
          <w:rStyle w:val="13"/>
          <w:rFonts w:asciiTheme="majorBidi" w:hAnsiTheme="majorBidi" w:cstheme="majorBidi"/>
          <w:color w:val="000000" w:themeColor="text1"/>
          <w:sz w:val="24"/>
          <w:szCs w:val="24"/>
          <w14:textFill>
            <w14:solidFill>
              <w14:schemeClr w14:val="tx1"/>
            </w14:solidFill>
          </w14:textFill>
        </w:rPr>
        <w:t>Journal of Peasant Studies, 41</w:t>
      </w:r>
      <w:r>
        <w:rPr>
          <w:rFonts w:asciiTheme="majorBidi" w:hAnsiTheme="majorBidi" w:cstheme="majorBidi"/>
          <w:color w:val="000000" w:themeColor="text1"/>
          <w:sz w:val="24"/>
          <w:szCs w:val="24"/>
          <w14:textFill>
            <w14:solidFill>
              <w14:schemeClr w14:val="tx1"/>
            </w14:solidFill>
          </w14:textFill>
        </w:rPr>
        <w:t xml:space="preserve">(6), 1065–1084.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"https://doi.org/10.1080/03066150.2013.876995"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14:textFill>
            <w14:solidFill>
              <w14:schemeClr w14:val="tx1"/>
            </w14:solidFill>
          </w14:textFill>
        </w:rPr>
        <w:t>https://doi.org/10.1080/03066150.2013.876995</w:t>
      </w:r>
      <w:r>
        <w:rPr>
          <w:rStyle w:val="16"/>
          <w:rFonts w:asciiTheme="majorBidi" w:hAnsiTheme="majorBidi" w:cstheme="majorBidi"/>
          <w:color w:val="000000" w:themeColor="text1"/>
          <w:sz w:val="24"/>
          <w:szCs w:val="24"/>
          <w14:textFill>
            <w14:solidFill>
              <w14:schemeClr w14:val="tx1"/>
            </w14:solidFill>
          </w14:textFill>
        </w:rPr>
        <w:fldChar w:fldCharType="end"/>
      </w:r>
    </w:p>
    <w:p w14:paraId="68EBCFA9">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Chakraborty, P. (2022). Postcolonial Theory and the Challenge of Caste.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Interventions, 25</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(1), 157–173.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"https://consensus.app/papers/postcolonial-theory-and-the-challenge-of-caste-chakraborty/5efa00ac4bfc599aae6d67a5dbb79411/?utm_source=chatgpt"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10.1080/1369801X.2022.2029531</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398A78E3">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Clare, O., &amp; Walshe, G. (2019).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Globalisation and seed sovereignty in Sub-Saharan Africa</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(Vol. 129). Springer International Publishing.</w:t>
      </w:r>
    </w:p>
    <w:p w14:paraId="104C64EC">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asciiTheme="majorBidi" w:hAnsiTheme="majorBidi" w:cstheme="majorBidi"/>
          <w:color w:val="000000" w:themeColor="text1"/>
          <w:sz w:val="24"/>
          <w:szCs w:val="24"/>
          <w14:textFill>
            <w14:solidFill>
              <w14:schemeClr w14:val="tx1"/>
            </w14:solidFill>
          </w14:textFill>
        </w:rPr>
        <w:t xml:space="preserve">English, C. (2020, May 9). Year-long investigation refutes myth of 'grassroots' anti-GMO activism. </w:t>
      </w:r>
      <w:r>
        <w:rPr>
          <w:rFonts w:asciiTheme="majorBidi" w:hAnsiTheme="majorBidi" w:cstheme="majorBidi"/>
          <w:i/>
          <w:iCs/>
          <w:color w:val="000000" w:themeColor="text1"/>
          <w:sz w:val="24"/>
          <w:szCs w:val="24"/>
          <w14:textFill>
            <w14:solidFill>
              <w14:schemeClr w14:val="tx1"/>
            </w14:solidFill>
          </w14:textFill>
        </w:rPr>
        <w:t>Genetic Literacy Project.https://www.acsh.org/news/2020/05/09/year-long-investigation-refutes-myth-grassroots-anti-gmo-activism-14775</w:t>
      </w:r>
    </w:p>
    <w:p w14:paraId="5DC87E03">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Fairclough, N. (1989).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Language and Power</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Longman.</w:t>
      </w:r>
    </w:p>
    <w:p w14:paraId="6F970F7B">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Farrelly, M. (2020). Rethinking intertextuality in CDA. Critical Discourse Studies, 17(3), 359-376. https://doi.org/10.1080/17405904.2019.1609538</w:t>
      </w:r>
    </w:p>
    <w:p w14:paraId="1139CC16">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Friedmann, H. (2005). From colonialism to green capitalism: Social movements and emergence of food regimes. In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New directions in the sociology of global development</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(pp. 227-264). Emerald Group Publishing Limited.</w:t>
      </w:r>
    </w:p>
    <w:p w14:paraId="715718C5">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Giddings, V., Atkinson, R., &amp; Wu, J. (2016). Suppressing growth: How GMO opposition hurts developing nations.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Information Technology and Innovation Foundation Report. chrome-extension://efaidnbmnnnibpcajpcglclefindmkaj/https://www2.itif.org/2016-suppressing-innovation-gmo.pdf</w:t>
      </w:r>
    </w:p>
    <w:p w14:paraId="355E20EC">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Gin, O. K., &amp; King, V. T. (2022).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Routledge handbook of contemporary Brunei</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Taylor &amp; Francis Group.</w:t>
      </w:r>
    </w:p>
    <w:p w14:paraId="7721D22D">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Glaab, K., &amp; Partzsch, L. (2018). Utopia, food sovereignty, and ethical fashion: the narrative power of anti-GMO campaigns.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New Political Science</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40</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(4), 691-707.</w:t>
      </w:r>
    </w:p>
    <w:p w14:paraId="6788FD62">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 xml:space="preserve">Goyal, P., &amp; Gurtoo, S. (2011). Factors influencing public perception: Genetically modified organisms. </w:t>
      </w:r>
      <w:r>
        <w:rPr>
          <w:rFonts w:eastAsia="Times New Roman" w:asciiTheme="majorBidi" w:hAnsiTheme="majorBidi" w:cstheme="majorBidi"/>
          <w:i/>
          <w:iCs/>
          <w:color w:val="000000" w:themeColor="text1"/>
          <w:sz w:val="24"/>
          <w:szCs w:val="24"/>
          <w:shd w:val="clear" w:color="auto" w:fill="FFFFFF"/>
          <w14:textFill>
            <w14:solidFill>
              <w14:schemeClr w14:val="tx1"/>
            </w14:solidFill>
          </w14:textFill>
        </w:rPr>
        <w:t>Journal of Integrative Environmental Sciences</w:t>
      </w:r>
      <w:r>
        <w:rPr>
          <w:rFonts w:asciiTheme="majorBidi" w:hAnsiTheme="majorBidi" w:cstheme="majorBidi"/>
          <w:color w:val="000000" w:themeColor="text1"/>
          <w:sz w:val="24"/>
          <w:szCs w:val="24"/>
          <w:shd w:val="clear" w:color="auto" w:fill="FFFFFF"/>
          <w14:textFill>
            <w14:solidFill>
              <w14:schemeClr w14:val="tx1"/>
            </w14:solidFill>
          </w14:textFill>
        </w:rPr>
        <w:t xml:space="preserve">, 8(4), 245–262.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"http://gmo.sophiapublisher.com"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shd w:val="clear" w:color="auto" w:fill="FFFFFF"/>
          <w14:textFill>
            <w14:solidFill>
              <w14:schemeClr w14:val="tx1"/>
            </w14:solidFill>
          </w14:textFill>
        </w:rPr>
        <w:t>http://gmo.sophiapublisher.com</w:t>
      </w:r>
      <w:r>
        <w:rPr>
          <w:rStyle w:val="16"/>
          <w:rFonts w:asciiTheme="majorBidi" w:hAnsiTheme="majorBidi" w:cstheme="majorBidi"/>
          <w:color w:val="000000" w:themeColor="text1"/>
          <w:sz w:val="24"/>
          <w:szCs w:val="24"/>
          <w:shd w:val="clear" w:color="auto" w:fill="FFFFFF"/>
          <w14:textFill>
            <w14:solidFill>
              <w14:schemeClr w14:val="tx1"/>
            </w14:solidFill>
          </w14:textFill>
        </w:rPr>
        <w:fldChar w:fldCharType="end"/>
      </w:r>
      <w:r>
        <w:rPr>
          <w:rFonts w:asciiTheme="majorBidi" w:hAnsiTheme="majorBidi" w:cstheme="majorBidi"/>
          <w:color w:val="000000" w:themeColor="text1"/>
          <w:sz w:val="24"/>
          <w:szCs w:val="24"/>
          <w:shd w:val="clear" w:color="auto" w:fill="FFFFFF"/>
          <w14:textFill>
            <w14:solidFill>
              <w14:schemeClr w14:val="tx1"/>
            </w14:solidFill>
          </w14:textFill>
        </w:rPr>
        <w:t xml:space="preserve"> </w:t>
      </w:r>
    </w:p>
    <w:p w14:paraId="03E1B3ED">
      <w:pPr>
        <w:spacing w:after="0" w:line="240" w:lineRule="auto"/>
        <w:ind w:left="720" w:hanging="63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Grey, S., &amp; Patel, R. (2015). Food sovereignty as decolonization: Some contributions from Indigenous movements to food system and development politics. </w:t>
      </w:r>
      <w:r>
        <w:rPr>
          <w:rStyle w:val="13"/>
          <w:rFonts w:asciiTheme="majorBidi" w:hAnsiTheme="majorBidi" w:cstheme="majorBidi"/>
          <w:color w:val="000000" w:themeColor="text1"/>
          <w:sz w:val="24"/>
          <w:szCs w:val="24"/>
          <w14:textFill>
            <w14:solidFill>
              <w14:schemeClr w14:val="tx1"/>
            </w14:solidFill>
          </w14:textFill>
        </w:rPr>
        <w:t>Agriculture and Human Values, 32</w:t>
      </w:r>
      <w:r>
        <w:rPr>
          <w:rFonts w:asciiTheme="majorBidi" w:hAnsiTheme="majorBidi" w:cstheme="majorBidi"/>
          <w:color w:val="000000" w:themeColor="text1"/>
          <w:sz w:val="24"/>
          <w:szCs w:val="24"/>
          <w14:textFill>
            <w14:solidFill>
              <w14:schemeClr w14:val="tx1"/>
            </w14:solidFill>
          </w14:textFill>
        </w:rPr>
        <w:t xml:space="preserve">(3), 431–444.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"https://doi.org/10.1007/s10460-014-9548-9"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14:textFill>
            <w14:solidFill>
              <w14:schemeClr w14:val="tx1"/>
            </w14:solidFill>
          </w14:textFill>
        </w:rPr>
        <w:t>https://doi.org/10.1007/s10460-014-9548-9</w:t>
      </w:r>
      <w:r>
        <w:rPr>
          <w:rStyle w:val="16"/>
          <w:rFonts w:asciiTheme="majorBidi" w:hAnsiTheme="majorBidi" w:cstheme="majorBidi"/>
          <w:color w:val="000000" w:themeColor="text1"/>
          <w:sz w:val="24"/>
          <w:szCs w:val="24"/>
          <w14:textFill>
            <w14:solidFill>
              <w14:schemeClr w14:val="tx1"/>
            </w14:solidFill>
          </w14:textFill>
        </w:rPr>
        <w:fldChar w:fldCharType="end"/>
      </w:r>
    </w:p>
    <w:p w14:paraId="60132937">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Griebel, S., Nelle, L., Sango E., Wairimu, S., Swanby, H., Sobgo, S., Okello, E., Sedego, C. M. F., Naserian, C. N., Rabo, C., Mwenja, D., Tiendrebéogo, F. S., Kabiru, F., Lusweti, I., Mwea, J., Mathenge, J., Krause, K., Belemgnegre, R. A., Kiprono, S., Kinyanjui, S., Sedgho Hema, S. S., Tiendrebeogo E. E. L. (2022) Food and Crisis: the role of Controlled Environment Agriculture in building urban food system resilience. Insights from the scoping work of the Urban Food Futures programme in Nairobi, Cape Town, and Ouagadougou. TMG Research.</w:t>
      </w:r>
    </w:p>
    <w:p w14:paraId="5A211CD0">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Gupta, C. (2018). Return to freedom: Anti-GMO Aloha ‘Āina activism on Molokai as an expression of place-based food sovereignty. In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The Politics of Food Sovereignty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(pp. 108-122). Routledge.</w:t>
      </w:r>
    </w:p>
    <w:p w14:paraId="435B3EBD">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Henke, C. (2015). Food, farms, and solidarity: French farmers challenge industrial agriculture and genetically modified crops.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Contemporary Sociology: A Journal of Reviews, 44</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(2), 215–216.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"https://doi.org/10.1177/0094306115570271y"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https://doi.org/10.1177/0094306115570271y</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1E82B712">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Jack, G., Plahe, J., &amp; Wright, S. (2022). Development as freedom? Insights from a farmer-led sustainable agriculture non-governmental organisation in the Philippines.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human relations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75</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(10), 1875-1902.</w:t>
      </w:r>
    </w:p>
    <w:p w14:paraId="17B60249">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Jarosz, L. (2014). Comparing food security and food sovereignty discourses.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Dialogues in Human Geography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4</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(2), 168-181.</w:t>
      </w:r>
    </w:p>
    <w:p w14:paraId="3C826EB4">
      <w:pPr>
        <w:spacing w:after="0" w:line="240" w:lineRule="auto"/>
        <w:ind w:left="720" w:hanging="63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Jernigan, V. B. B., Nguyen, O. K., &amp; Lothrop, N. (2023). Food sovereignty and health: A conceptual framework to inform policy, research, and practice. </w:t>
      </w:r>
      <w:r>
        <w:rPr>
          <w:rStyle w:val="13"/>
          <w:rFonts w:asciiTheme="majorBidi" w:hAnsiTheme="majorBidi" w:cstheme="majorBidi"/>
          <w:color w:val="000000" w:themeColor="text1"/>
          <w:sz w:val="24"/>
          <w:szCs w:val="24"/>
          <w14:textFill>
            <w14:solidFill>
              <w14:schemeClr w14:val="tx1"/>
            </w14:solidFill>
          </w14:textFill>
        </w:rPr>
        <w:t>Social Science &amp; Medicine, 312</w:t>
      </w:r>
      <w:r>
        <w:rPr>
          <w:rFonts w:asciiTheme="majorBidi" w:hAnsiTheme="majorBidi" w:cstheme="majorBidi"/>
          <w:color w:val="000000" w:themeColor="text1"/>
          <w:sz w:val="24"/>
          <w:szCs w:val="24"/>
          <w14:textFill>
            <w14:solidFill>
              <w14:schemeClr w14:val="tx1"/>
            </w14:solidFill>
          </w14:textFill>
        </w:rPr>
        <w:t xml:space="preserve">, 115415.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"https://doi.org/10.1016/j.socscimed.2023.115415"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14:textFill>
            <w14:solidFill>
              <w14:schemeClr w14:val="tx1"/>
            </w14:solidFill>
          </w14:textFill>
        </w:rPr>
        <w:t>https://doi.org/10.1016/j.socscimed.2023.115415</w:t>
      </w:r>
      <w:r>
        <w:rPr>
          <w:rStyle w:val="16"/>
          <w:rFonts w:asciiTheme="majorBidi" w:hAnsiTheme="majorBidi" w:cstheme="majorBidi"/>
          <w:color w:val="000000" w:themeColor="text1"/>
          <w:sz w:val="24"/>
          <w:szCs w:val="24"/>
          <w14:textFill>
            <w14:solidFill>
              <w14:schemeClr w14:val="tx1"/>
            </w14:solidFill>
          </w14:textFill>
        </w:rPr>
        <w:fldChar w:fldCharType="end"/>
      </w:r>
    </w:p>
    <w:p w14:paraId="72DDD477">
      <w:pPr>
        <w:spacing w:after="0" w:line="240" w:lineRule="auto"/>
        <w:ind w:left="720" w:hanging="630"/>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Khosravinik, M. (2010). Actor descriptions, action attributions, and argumentation: Towards a systematization of CDA analytical categories in the representation of social groups. Critical Discourse Studies, 7(1), 55-72. https://doi.org/10.1080/17405900903453948</w:t>
      </w:r>
    </w:p>
    <w:p w14:paraId="432CDAB5">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Knudsen, E., &amp; Rahbek, U. (2021). Postcolonial Theory.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The Year's Work in Critical and Cultural Theory.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"https://consensus.app/papers/postcolonial-theory-knudsen-rahbek/0c83d7bf0c0254d88f05367739d4927a/?utm_source=chatgpt"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10.1093/ywcct/mbab004</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6810402A">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Lapegna, P., &amp; Perelmuter, T. (2020). Genetically modified crops and seed/food sovereignty in Argentina: scales and states in the contemporary food regime. The Journal of Peasant Studies, 47(4), 700-719.</w:t>
      </w:r>
    </w:p>
    <w:p w14:paraId="527A8637">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Lee, R. P. (2013). The politics of international agri-food policy: discourses of trade-oriented food security and food sovereignty.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Environmental Politics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22</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(2), 216-234.</w:t>
      </w:r>
    </w:p>
    <w:p w14:paraId="417BC898">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Liebel, M. (2020). Postcolonial theories from the Global South.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Decolonizing Childhoods.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"https://consensus.app/papers/postcolonial-theories-from-the-global-south-liebel/e67163569aa75d528d9ab930f4800190/?utm_source=chatgpt"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10.1332/POLICYPRESS/9781447356400.003.0004</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44CB362D">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Lin, S. Y. (2017). The evolution of food security governance and food sovereignty movement in China: An analysis from the world society theory.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Journal of Agricultural and Environmental Ethics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30</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(5), 667-695.</w:t>
      </w:r>
    </w:p>
    <w:p w14:paraId="42EA36B6">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Losch, B. (2022). Decent employment and the future of agriculture. How dominant narratives prevent addressing structural issues.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Frontiers in Sustainable Food Systems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6</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862249.</w:t>
      </w:r>
    </w:p>
    <w:p w14:paraId="2E41C035">
      <w:pPr>
        <w:spacing w:after="0" w:line="240" w:lineRule="auto"/>
        <w:ind w:left="720" w:hanging="63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Matties, Z. (2016). Unsettling settler food movements: Food sovereignty and the politics of land in Canada. </w:t>
      </w:r>
      <w:r>
        <w:rPr>
          <w:rStyle w:val="13"/>
          <w:rFonts w:asciiTheme="majorBidi" w:hAnsiTheme="majorBidi" w:cstheme="majorBidi"/>
          <w:color w:val="000000" w:themeColor="text1"/>
          <w:sz w:val="24"/>
          <w:szCs w:val="24"/>
          <w14:textFill>
            <w14:solidFill>
              <w14:schemeClr w14:val="tx1"/>
            </w14:solidFill>
          </w14:textFill>
        </w:rPr>
        <w:t>Journal of Peasant Studies, 43</w:t>
      </w:r>
      <w:r>
        <w:rPr>
          <w:rFonts w:asciiTheme="majorBidi" w:hAnsiTheme="majorBidi" w:cstheme="majorBidi"/>
          <w:color w:val="000000" w:themeColor="text1"/>
          <w:sz w:val="24"/>
          <w:szCs w:val="24"/>
          <w14:textFill>
            <w14:solidFill>
              <w14:schemeClr w14:val="tx1"/>
            </w14:solidFill>
          </w14:textFill>
        </w:rPr>
        <w:t xml:space="preserve">(1), 651–672.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"https://doi.org/10.1080/03066150.2015.1004190"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14:textFill>
            <w14:solidFill>
              <w14:schemeClr w14:val="tx1"/>
            </w14:solidFill>
          </w14:textFill>
        </w:rPr>
        <w:t>https://doi.org/10.1080/03066150.2015.1004190</w:t>
      </w:r>
      <w:r>
        <w:rPr>
          <w:rStyle w:val="16"/>
          <w:rFonts w:asciiTheme="majorBidi" w:hAnsiTheme="majorBidi" w:cstheme="majorBidi"/>
          <w:color w:val="000000" w:themeColor="text1"/>
          <w:sz w:val="24"/>
          <w:szCs w:val="24"/>
          <w14:textFill>
            <w14:solidFill>
              <w14:schemeClr w14:val="tx1"/>
            </w14:solidFill>
          </w14:textFill>
        </w:rPr>
        <w:fldChar w:fldCharType="end"/>
      </w:r>
    </w:p>
    <w:p w14:paraId="2B776DCC">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McAfee, K. (2008). Beyond techno-science: Transgenic maize in the fight over Mexico’s future.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Geoforum, 39</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(1), 148–160.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"https://consensus.app/papers/beyond-technoscience-transgenic-maize-in-the-fight-over-mcafee/db693dfd80355d21b2924ce5dd3e18a9/?utm_source=chatgpt"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10.1016/J.GEOFORUM.2007.06.002</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1FBBFBF6">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Mekonen, Y., Godade, F., &amp; Melis, B. (2024). Micronutrient Limitations in Crop Production and Strategies for Improvement: A Review. J Res Edu, 2(1), 01-08.</w:t>
      </w:r>
    </w:p>
    <w:p w14:paraId="09BDBF79">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Merino, R. (2022). The geopolitics of food security and food sovereignty in Latin America: Harmonizing competing visions or reinforcing extractive agriculture?.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Geopolitics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27</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(3), 898-920.</w:t>
      </w:r>
    </w:p>
    <w:p w14:paraId="4F6733C9">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Mishra, R. (2020). Postcolonial Theory.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International Journal of Social Sciences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7(2), 115–129.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"https://consensus.app/papers/postcolonial-theory-mishra/ee3d02fb0202529c82fcb708e66fdf64/?utm_source=chatgpt"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10.1177/0957926593004002006</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453A940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Montenegro de Wit, M. (2022). Can agroecology and CRISPR mix? The politics of complementarity and moving toward technology sovereignty.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Agriculture and Human Values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39</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(2), 733-755.</w:t>
      </w:r>
    </w:p>
    <w:p w14:paraId="734D29CD">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Mueller, N. G., &amp; Flachs, A. (2022). Domestication, crop breeding, and genetic modification are fundamentally different processes: implications for seed sovereignty and agrobiodiversity.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Agriculture and Human Values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39</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(1), 455-472.</w:t>
      </w:r>
    </w:p>
    <w:p w14:paraId="7249A132">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Narula, S. (2024). Beyond Reform: Food Sovereignty and the Future of Global Food Systems.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Ind. J. Global Legal Stud.</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31</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141.</w:t>
      </w:r>
    </w:p>
    <w:p w14:paraId="2F104362">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Naylor, L. (2023). GMOs, the Land Grab, and Epistemological Enclosures. In Routledge Handbook of Global Land and Resource Grabbing (pp. 143-155). Routledge.</w:t>
      </w:r>
    </w:p>
    <w:p w14:paraId="1DF5E52A">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Nielsen, C. P., &amp; Anderson, K. (2000). GMOs, trade policy, and welfare in rich and poor countries.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Agricultural &amp; Natural Resource Economics.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"https://consensus.app/papers/gmos-trade-policy-and-welfare-in-rich-and-poor-countries-nielsen-anderson/654b52c920fd57e4a1b99867ed50b7c6/?utm_source=chatgpt"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10.2139/ssrn.231201</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7D653892">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O’Brien, T. (2021). “We stand in the Luddite legacy”: Tracking patterns of anti-GM protest and crop-trashing in the United Kingdom.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Journal of Cultural Geography, 38</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(3), 313–335.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"https://doi.org/10.1080/08873631.2021.1928828"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https://doi.org/10.1080/08873631.2021.1928828</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2F3841B6">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O'Grady Walshe, C., &amp; O’Grady Walshe, C. (2019). Seed Sovereignty and Globalisation.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Globalisation and Seed Sovereignty in Sub-Saharan Africa</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61-116.</w:t>
      </w:r>
    </w:p>
    <w:p w14:paraId="1C3DA295">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Ogwu, M. C., Izah, S. C., Ntuli, N. R., &amp; Odubo, T. C. (2024). Food security complexities in the global south. In Food Safety and Quality in the Global South (pp. 3-33). Singapore: Springer Nature Singapore.</w:t>
      </w:r>
    </w:p>
    <w:p w14:paraId="0393023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Oliver, B., Deawuo, L. A., &amp; Rao, S. (2022). A Food Sovereignty Approach to Localization in International Solidarity.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Societies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12</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(5), 145.</w:t>
      </w:r>
    </w:p>
    <w:p w14:paraId="39C830B9">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 xml:space="preserve">Omoyajowo, K., Omoyajowo, K., Akinola, A., Ogunyebi, A., Alao, R., Makinde, O., Orekoya, O., Makengo, B. M., Akinola, O., Jatau, S. S., Kakwi, J. D., Ukoh, S. N. B., &amp; Raimi, M. O. (2024). Genetically Modified Foods: Victoria Islanders’ Perspectives on the Common Good. Preprints.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"https://doi.org/10.20944/preprints202407.0454.v1"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shd w:val="clear" w:color="auto" w:fill="FFFFFF"/>
          <w14:textFill>
            <w14:solidFill>
              <w14:schemeClr w14:val="tx1"/>
            </w14:solidFill>
          </w14:textFill>
        </w:rPr>
        <w:t>https://doi.org/10.20944/preprints202407.0454.v1</w:t>
      </w:r>
      <w:r>
        <w:rPr>
          <w:rStyle w:val="16"/>
          <w:rFonts w:asciiTheme="majorBidi" w:hAnsiTheme="majorBidi" w:cstheme="majorBidi"/>
          <w:color w:val="000000" w:themeColor="text1"/>
          <w:sz w:val="24"/>
          <w:szCs w:val="24"/>
          <w:shd w:val="clear" w:color="auto" w:fill="FFFFFF"/>
          <w14:textFill>
            <w14:solidFill>
              <w14:schemeClr w14:val="tx1"/>
            </w14:solidFill>
          </w14:textFill>
        </w:rPr>
        <w:fldChar w:fldCharType="end"/>
      </w:r>
    </w:p>
    <w:p w14:paraId="50020D03">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Paarlberg, R. (2014). A dubious success: The NGO campaign against GMOs.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GM Crops &amp; Food, 5</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(3), 223–228.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"https://consensus.app/papers/a-dubious-success-the-ngo-campaign-against-gmos-paarlberg/d33939658e9357939613899cfb462a2a/?utm_source=chatgpt"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10.4161/21645698.2014.952204</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79BA03D4">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Paine, J. D. (2018). Global GMO Policy. </w:t>
      </w:r>
      <w:r>
        <w:rPr>
          <w:rFonts w:asciiTheme="majorBidi" w:hAnsiTheme="majorBidi" w:cstheme="majorBidi"/>
          <w:i/>
          <w:iCs/>
          <w:color w:val="000000" w:themeColor="text1"/>
          <w:sz w:val="24"/>
          <w:szCs w:val="24"/>
          <w:shd w:val="clear" w:color="auto" w:fill="FFFFFF"/>
          <w14:textFill>
            <w14:solidFill>
              <w14:schemeClr w14:val="tx1"/>
            </w14:solidFill>
          </w14:textFill>
        </w:rPr>
        <w:t>Purdue Policy Research Institute (PPRI) Policy Briefs</w:t>
      </w:r>
      <w:r>
        <w:rPr>
          <w:rFonts w:asciiTheme="majorBidi" w:hAnsiTheme="majorBidi" w:cstheme="majorBidi"/>
          <w:color w:val="000000" w:themeColor="text1"/>
          <w:sz w:val="24"/>
          <w:szCs w:val="24"/>
          <w:shd w:val="clear" w:color="auto" w:fill="FFFFFF"/>
          <w14:textFill>
            <w14:solidFill>
              <w14:schemeClr w14:val="tx1"/>
            </w14:solidFill>
          </w14:textFill>
        </w:rPr>
        <w:t>, </w:t>
      </w:r>
      <w:r>
        <w:rPr>
          <w:rFonts w:asciiTheme="majorBidi" w:hAnsiTheme="majorBidi" w:cstheme="majorBidi"/>
          <w:i/>
          <w:iCs/>
          <w:color w:val="000000" w:themeColor="text1"/>
          <w:sz w:val="24"/>
          <w:szCs w:val="24"/>
          <w:shd w:val="clear" w:color="auto" w:fill="FFFFFF"/>
          <w14:textFill>
            <w14:solidFill>
              <w14:schemeClr w14:val="tx1"/>
            </w14:solidFill>
          </w14:textFill>
        </w:rPr>
        <w:t>4</w:t>
      </w:r>
      <w:r>
        <w:rPr>
          <w:rFonts w:asciiTheme="majorBidi" w:hAnsiTheme="majorBidi" w:cstheme="majorBidi"/>
          <w:color w:val="000000" w:themeColor="text1"/>
          <w:sz w:val="24"/>
          <w:szCs w:val="24"/>
          <w:shd w:val="clear" w:color="auto" w:fill="FFFFFF"/>
          <w14:textFill>
            <w14:solidFill>
              <w14:schemeClr w14:val="tx1"/>
            </w14:solidFill>
          </w14:textFill>
        </w:rPr>
        <w:t xml:space="preserve">(1), 1-4.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"https://docs.lib.purdue.edu/gpripb/vol4/iss1/4"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shd w:val="clear" w:color="auto" w:fill="FFFFFF"/>
          <w14:textFill>
            <w14:solidFill>
              <w14:schemeClr w14:val="tx1"/>
            </w14:solidFill>
          </w14:textFill>
        </w:rPr>
        <w:t>https://docs.lib.purdue.edu/gpripb/vol4/iss1/4</w:t>
      </w:r>
      <w:r>
        <w:rPr>
          <w:rStyle w:val="16"/>
          <w:rFonts w:asciiTheme="majorBidi" w:hAnsiTheme="majorBidi" w:cstheme="majorBidi"/>
          <w:color w:val="000000" w:themeColor="text1"/>
          <w:sz w:val="24"/>
          <w:szCs w:val="24"/>
          <w:shd w:val="clear" w:color="auto" w:fill="FFFFFF"/>
          <w14:textFill>
            <w14:solidFill>
              <w14:schemeClr w14:val="tx1"/>
            </w14:solidFill>
          </w14:textFill>
        </w:rPr>
        <w:fldChar w:fldCharType="end"/>
      </w:r>
    </w:p>
    <w:p w14:paraId="7031D0C0">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Passricha, N., Saifi, S. K., Negi, H., Tuteja, R., &amp; Tuteja, N. (2020). Transgenic approach in crop improvement.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Advances in Plant Biotechnology, 1</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 329–350.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"https://doi.org/10.1016/b978-0-12-818581-0.00020-6"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https://doi.org/10.1016/b978-0-12-818581-0.00020-6</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422255F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Patel, R. (2009). Food sovereignty.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The Journal of Peasant Studies, 36</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(3), 663–706. DOI: 10.1080/03066150903143079.</w:t>
      </w:r>
    </w:p>
    <w:p w14:paraId="3A484363">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Paull, J. (2019). The failures of genetically modified organisms (GMOs): Australia as a case study.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[Unpublished Study]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"https://consensus.app/papers/the-failures-of-genetically-modified-organisms-gmos-paull/f1e811f7fb9557818ff76f74a4f070df/?utm_source=chatgpt"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10.13140/RG.2.2.22342.63040</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014E0D5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Paull, J. (2020). GMOs &amp; SA: Food sovereignty &amp; consumer sentiment.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[Unpublished Study]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w:t>
      </w:r>
    </w:p>
    <w:p w14:paraId="2A61F342">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Pimbert, M. P., &amp; Claeys, P. (2024). Food sovereignty. In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Oxford Research Encyclopedia of Anthropology</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0ABDF71C">
      <w:pPr>
        <w:spacing w:after="0" w:line="240" w:lineRule="auto"/>
        <w:ind w:left="720" w:hanging="63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Ploeg, J. D. V. D. (2014). Peasant-driven agricultural growth and food sovereignty. </w:t>
      </w:r>
      <w:r>
        <w:rPr>
          <w:rStyle w:val="13"/>
          <w:rFonts w:asciiTheme="majorBidi" w:hAnsiTheme="majorBidi" w:cstheme="majorBidi"/>
          <w:color w:val="000000" w:themeColor="text1"/>
          <w:sz w:val="24"/>
          <w:szCs w:val="24"/>
          <w14:textFill>
            <w14:solidFill>
              <w14:schemeClr w14:val="tx1"/>
            </w14:solidFill>
          </w14:textFill>
        </w:rPr>
        <w:t>Journal of Peasant Studies, 41</w:t>
      </w:r>
      <w:r>
        <w:rPr>
          <w:rFonts w:asciiTheme="majorBidi" w:hAnsiTheme="majorBidi" w:cstheme="majorBidi"/>
          <w:color w:val="000000" w:themeColor="text1"/>
          <w:sz w:val="24"/>
          <w:szCs w:val="24"/>
          <w14:textFill>
            <w14:solidFill>
              <w14:schemeClr w14:val="tx1"/>
            </w14:solidFill>
          </w14:textFill>
        </w:rPr>
        <w:t xml:space="preserve">(6), 999–1030.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"https://doi.org/10.1080/03066150.2013.876997"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14:textFill>
            <w14:solidFill>
              <w14:schemeClr w14:val="tx1"/>
            </w14:solidFill>
          </w14:textFill>
        </w:rPr>
        <w:t>https://doi.org/10.1080/03066150.2013.876997</w:t>
      </w:r>
      <w:r>
        <w:rPr>
          <w:rStyle w:val="16"/>
          <w:rFonts w:asciiTheme="majorBidi" w:hAnsiTheme="majorBidi" w:cstheme="majorBidi"/>
          <w:color w:val="000000" w:themeColor="text1"/>
          <w:sz w:val="24"/>
          <w:szCs w:val="24"/>
          <w14:textFill>
            <w14:solidFill>
              <w14:schemeClr w14:val="tx1"/>
            </w14:solidFill>
          </w14:textFill>
        </w:rPr>
        <w:fldChar w:fldCharType="end"/>
      </w:r>
    </w:p>
    <w:p w14:paraId="34BD9AC4">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Price, M. J., Latta, A., Spring, A., Temmer, J., Johnston, C., Chicot, L., ... &amp; Leishman, M. (2022). Agroecology in the North: Centering Indigenous food sovereignty and land stewardship in agriculture “frontiers”.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Agriculture and Human Values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39</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(4), 1191-1206.</w:t>
      </w:r>
    </w:p>
    <w:p w14:paraId="68E72C20">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Rai, D., Chaudhary, C., Khatak, A., &amp; Banyal, S. (2024). A Sustainable Approach to Combat Micronutrient Deficiencies and Ensure Global Food Security through Biofortification. European Journal of Nutrition &amp; Food Safety, 16(4), 15-30.</w:t>
      </w:r>
    </w:p>
    <w:p w14:paraId="0794C4CC">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Reinburg, C., &amp; Olliver, L. (2019). Genetically modified crops.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Encyclopedia of Food and Agricultural Ethics.</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"https://doi.org/10.1205/096030899532321"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https://doi.org/10.1205/096030899532321</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714E76F6">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Rock, J. S. (2022).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We are not starving: The struggle for food sovereignty in Ghana</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MSU Press.</w:t>
      </w:r>
    </w:p>
    <w:p w14:paraId="6A36A5B0">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Sadikiel Mmbando, G. (2024). The Adoption of Genetically Modified Crops in Africa: the Public’s Current Perception, the Regulatory Obstacles, and Ethical Challenges. GM Crops &amp; Food, 15(1), 1-15.</w:t>
      </w:r>
    </w:p>
    <w:p w14:paraId="4D7F478C">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asciiTheme="majorBidi" w:hAnsiTheme="majorBidi" w:cstheme="majorBidi"/>
          <w:color w:val="000000" w:themeColor="text1"/>
          <w:sz w:val="24"/>
          <w:szCs w:val="24"/>
          <w:shd w:val="clear" w:color="auto" w:fill="FFFFFF"/>
          <w14:textFill>
            <w14:solidFill>
              <w14:schemeClr w14:val="tx1"/>
            </w14:solidFill>
          </w14:textFill>
        </w:rPr>
        <w:t>Sawant, S. B. (2012, January). Postcolonial theory: Meaning and significance. In </w:t>
      </w:r>
      <w:r>
        <w:rPr>
          <w:rFonts w:asciiTheme="majorBidi" w:hAnsiTheme="majorBidi" w:cstheme="majorBidi"/>
          <w:i/>
          <w:iCs/>
          <w:color w:val="000000" w:themeColor="text1"/>
          <w:sz w:val="24"/>
          <w:szCs w:val="24"/>
          <w:shd w:val="clear" w:color="auto" w:fill="FFFFFF"/>
          <w14:textFill>
            <w14:solidFill>
              <w14:schemeClr w14:val="tx1"/>
            </w14:solidFill>
          </w14:textFill>
        </w:rPr>
        <w:t>Proceedings of National Seminar on Postmodern Literary Theory and Literature</w:t>
      </w:r>
      <w:r>
        <w:rPr>
          <w:rFonts w:asciiTheme="majorBidi" w:hAnsiTheme="majorBidi" w:cstheme="majorBidi"/>
          <w:color w:val="000000" w:themeColor="text1"/>
          <w:sz w:val="24"/>
          <w:szCs w:val="24"/>
          <w:shd w:val="clear" w:color="auto" w:fill="FFFFFF"/>
          <w14:textFill>
            <w14:solidFill>
              <w14:schemeClr w14:val="tx1"/>
            </w14:solidFill>
          </w14:textFill>
        </w:rPr>
        <w:t> (pp. 120-126).</w:t>
      </w:r>
    </w:p>
    <w:p w14:paraId="26E8B44E">
      <w:pPr>
        <w:spacing w:after="0" w:line="240" w:lineRule="auto"/>
        <w:ind w:left="720" w:hanging="63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Schiffino, N. (2008). Policy networks, national patterns and Europeanization: Understanding Belgian GMO policy within European framework. In </w:t>
      </w:r>
      <w:r>
        <w:rPr>
          <w:rFonts w:asciiTheme="majorBidi" w:hAnsiTheme="majorBidi" w:cstheme="majorBidi"/>
          <w:i/>
          <w:iCs/>
          <w:color w:val="000000" w:themeColor="text1"/>
          <w:sz w:val="24"/>
          <w:szCs w:val="24"/>
          <w:shd w:val="clear" w:color="auto" w:fill="FFFFFF"/>
          <w14:textFill>
            <w14:solidFill>
              <w14:schemeClr w14:val="tx1"/>
            </w14:solidFill>
          </w14:textFill>
        </w:rPr>
        <w:t>Council for European Studies (CES) 16th International Conference</w:t>
      </w:r>
      <w:r>
        <w:rPr>
          <w:rFonts w:asciiTheme="majorBidi" w:hAnsiTheme="majorBidi" w:cstheme="majorBidi"/>
          <w:color w:val="000000" w:themeColor="text1"/>
          <w:sz w:val="24"/>
          <w:szCs w:val="24"/>
          <w:shd w:val="clear" w:color="auto" w:fill="FFFFFF"/>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"http://hdl.handle.net/2078.4/20821" </w:instrText>
      </w:r>
      <w:r>
        <w:rPr>
          <w:color w:val="000000" w:themeColor="text1"/>
          <w14:textFill>
            <w14:solidFill>
              <w14:schemeClr w14:val="tx1"/>
            </w14:solidFill>
          </w14:textFill>
        </w:rPr>
        <w:fldChar w:fldCharType="separate"/>
      </w:r>
      <w:r>
        <w:rPr>
          <w:rStyle w:val="16"/>
          <w:rFonts w:asciiTheme="majorBidi" w:hAnsiTheme="majorBidi" w:cstheme="majorBidi"/>
          <w:color w:val="000000" w:themeColor="text1"/>
          <w:sz w:val="24"/>
          <w:szCs w:val="24"/>
          <w:shd w:val="clear" w:color="auto" w:fill="FFFFFF"/>
          <w14:textFill>
            <w14:solidFill>
              <w14:schemeClr w14:val="tx1"/>
            </w14:solidFill>
          </w14:textFill>
        </w:rPr>
        <w:t>http://hdl.handle.net/2078.4/20821</w:t>
      </w:r>
      <w:r>
        <w:rPr>
          <w:rStyle w:val="16"/>
          <w:rFonts w:asciiTheme="majorBidi" w:hAnsiTheme="majorBidi" w:cstheme="majorBidi"/>
          <w:color w:val="000000" w:themeColor="text1"/>
          <w:sz w:val="24"/>
          <w:szCs w:val="24"/>
          <w:shd w:val="clear" w:color="auto" w:fill="FFFFFF"/>
          <w14:textFill>
            <w14:solidFill>
              <w14:schemeClr w14:val="tx1"/>
            </w14:solidFill>
          </w14:textFill>
        </w:rPr>
        <w:fldChar w:fldCharType="end"/>
      </w:r>
    </w:p>
    <w:p w14:paraId="4859E422">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Scoones, I. (2008). Mobilizing against GM crops in India, South Africa, and Brazil.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Journal of Agrarian Change, 8</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(3), 315–344.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"https://consensus.app/papers/mobilizing-against-gm-crops-in-india-south-africa-and-scoones/2783d8772dda5cfe8ea20cab2818df8e/?utm_source=chatgpt"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10.1111/J.1471-0366.2008.00172.X</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3B91D75A">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Shattuck, A., &amp; Holt-Giménez, E. (2010). Moving from Food Crisis to Food Sovereignty.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Yale Hum. Rts. &amp; Dev. LJ</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13</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421.</w:t>
      </w:r>
    </w:p>
    <w:p w14:paraId="64FF59DB">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Smyth, S., Kerr, W., &amp; Phillips, P. (2015). Global economic, environmental and health benefits from GM crop adoption.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Global Food Security, 7</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24–29.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"https://consensus.app/papers/global-economic-environmental-and-health-benefits-from-gm-smyth-kerr/9e79124efa815f26b0bfd27917f8f153/?utm_source=chatgpt"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10.1016/J.GFS.2015.10.002</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33270F4F">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Sommerville, M., Essex, J., &amp; Le Billon, P. (2014). The ‘global food crisis’ and the geopolitics of food security.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Geopolitics</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19</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(2), 239-265.</w:t>
      </w:r>
    </w:p>
    <w:p w14:paraId="7C8320FD">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4D957B34">
      <w:pPr>
        <w:spacing w:after="0" w:line="240" w:lineRule="auto"/>
        <w:ind w:left="720" w:hanging="630"/>
        <w:jc w:val="both"/>
        <w:rPr>
          <w:rFonts w:eastAsia="Times New Roman" w:asciiTheme="majorBidi" w:hAnsiTheme="majorBidi" w:cstheme="majorBidi"/>
          <w:color w:val="000000" w:themeColor="text1"/>
          <w:kern w:val="0"/>
          <w:sz w:val="24"/>
          <w:szCs w:val="24"/>
          <w:shd w:val="clear" w:color="auto" w:fill="FFFFFF"/>
          <w14:textFill>
            <w14:solidFill>
              <w14:schemeClr w14:val="tx1"/>
            </w14:solidFill>
          </w14:textFill>
          <w14:ligatures w14:val="none"/>
        </w:rPr>
      </w:pPr>
      <w:r>
        <w:rPr>
          <w:rFonts w:asciiTheme="majorBidi" w:hAnsiTheme="majorBidi" w:cstheme="majorBidi"/>
          <w:color w:val="000000" w:themeColor="text1"/>
          <w:sz w:val="24"/>
          <w:szCs w:val="24"/>
          <w:shd w:val="clear" w:color="auto" w:fill="FFFFFF"/>
          <w14:textFill>
            <w14:solidFill>
              <w14:schemeClr w14:val="tx1"/>
            </w14:solidFill>
          </w14:textFill>
        </w:rPr>
        <w:t>Stewart, R. B. (2009). GMO trade regulation and developing countries: intellectual property and GMO issues in global administrative law: part III. </w:t>
      </w:r>
      <w:r>
        <w:rPr>
          <w:rFonts w:asciiTheme="majorBidi" w:hAnsiTheme="majorBidi" w:cstheme="majorBidi"/>
          <w:i/>
          <w:iCs/>
          <w:color w:val="000000" w:themeColor="text1"/>
          <w:sz w:val="24"/>
          <w:szCs w:val="24"/>
          <w:shd w:val="clear" w:color="auto" w:fill="FFFFFF"/>
          <w14:textFill>
            <w14:solidFill>
              <w14:schemeClr w14:val="tx1"/>
            </w14:solidFill>
          </w14:textFill>
        </w:rPr>
        <w:t>Acta Juridica</w:t>
      </w:r>
      <w:r>
        <w:rPr>
          <w:rFonts w:asciiTheme="majorBidi" w:hAnsiTheme="majorBidi" w:cstheme="majorBidi"/>
          <w:color w:val="000000" w:themeColor="text1"/>
          <w:sz w:val="24"/>
          <w:szCs w:val="24"/>
          <w:shd w:val="clear" w:color="auto" w:fill="FFFFFF"/>
          <w14:textFill>
            <w14:solidFill>
              <w14:schemeClr w14:val="tx1"/>
            </w14:solidFill>
          </w14:textFill>
        </w:rPr>
        <w:t>, </w:t>
      </w:r>
      <w:r>
        <w:rPr>
          <w:rFonts w:asciiTheme="majorBidi" w:hAnsiTheme="majorBidi" w:cstheme="majorBidi"/>
          <w:i/>
          <w:iCs/>
          <w:color w:val="000000" w:themeColor="text1"/>
          <w:sz w:val="24"/>
          <w:szCs w:val="24"/>
          <w:shd w:val="clear" w:color="auto" w:fill="FFFFFF"/>
          <w14:textFill>
            <w14:solidFill>
              <w14:schemeClr w14:val="tx1"/>
            </w14:solidFill>
          </w14:textFill>
        </w:rPr>
        <w:t>2009</w:t>
      </w:r>
      <w:r>
        <w:rPr>
          <w:rFonts w:asciiTheme="majorBidi" w:hAnsiTheme="majorBidi" w:cstheme="majorBidi"/>
          <w:color w:val="000000" w:themeColor="text1"/>
          <w:sz w:val="24"/>
          <w:szCs w:val="24"/>
          <w:shd w:val="clear" w:color="auto" w:fill="FFFFFF"/>
          <w14:textFill>
            <w14:solidFill>
              <w14:schemeClr w14:val="tx1"/>
            </w14:solidFill>
          </w14:textFill>
        </w:rPr>
        <w:t xml:space="preserve">(1), 320-380.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"https://hdl.handle.net/10520/EJC52718"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sz w:val="24"/>
          <w:szCs w:val="24"/>
          <w:shd w:val="clear" w:color="auto" w:fill="FFFFFF"/>
          <w14:textFill>
            <w14:solidFill>
              <w14:schemeClr w14:val="tx1"/>
            </w14:solidFill>
          </w14:textFill>
        </w:rPr>
        <w:t>https://hdl.handle.net/10520/EJC52718</w:t>
      </w:r>
      <w:r>
        <w:rPr>
          <w:rStyle w:val="16"/>
          <w:rFonts w:eastAsia="Times New Roman" w:asciiTheme="majorBidi" w:hAnsiTheme="majorBidi" w:cstheme="majorBidi"/>
          <w:color w:val="000000" w:themeColor="text1"/>
          <w:sz w:val="24"/>
          <w:szCs w:val="24"/>
          <w:shd w:val="clear" w:color="auto" w:fill="FFFFFF"/>
          <w14:textFill>
            <w14:solidFill>
              <w14:schemeClr w14:val="tx1"/>
            </w14:solidFill>
          </w14:textFill>
        </w:rPr>
        <w:fldChar w:fldCharType="end"/>
      </w:r>
    </w:p>
    <w:p w14:paraId="7AA445F1">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Stone, C., Albrechtsen, C. J., &amp; Boyce, A. (2024). Postcolonialism, culture, and values in evaluating scientific collaborations. </w:t>
      </w:r>
      <w:r>
        <w:rPr>
          <w:rFonts w:ascii="Times New Roman" w:hAnsi="Times New Roman" w:eastAsia="Times New Roman" w:cs="Times New Roman"/>
          <w:i/>
          <w:iCs/>
          <w:color w:val="000000" w:themeColor="text1"/>
          <w:kern w:val="0"/>
          <w:sz w:val="24"/>
          <w:szCs w:val="24"/>
          <w14:textFill>
            <w14:solidFill>
              <w14:schemeClr w14:val="tx1"/>
            </w14:solidFill>
          </w14:textFill>
          <w14:ligatures w14:val="none"/>
        </w:rPr>
        <w:t>Evaluation.</w:t>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"https://consensus.app/papers/postcolonialism-culture-and-values-in-evaluating-stone-albrechtsen/b5e1fac50c3357719640dcac6a0bd51a/?utm_source=chatgpt" \t "_new"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t>10.1177/13563890241246006</w:t>
      </w:r>
      <w:r>
        <w:rPr>
          <w:rFonts w:ascii="Times New Roman" w:hAnsi="Times New Roman" w:eastAsia="Times New Roman" w:cs="Times New Roman"/>
          <w:color w:val="000000" w:themeColor="text1"/>
          <w:kern w:val="0"/>
          <w:sz w:val="24"/>
          <w:szCs w:val="24"/>
          <w:u w:val="single"/>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4"/>
          <w:szCs w:val="24"/>
          <w14:textFill>
            <w14:solidFill>
              <w14:schemeClr w14:val="tx1"/>
            </w14:solidFill>
          </w14:textFill>
          <w14:ligatures w14:val="none"/>
        </w:rPr>
        <w:t>.</w:t>
      </w:r>
    </w:p>
    <w:p w14:paraId="0B1C1668">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Swinbank, V. A., &amp; Swinbank, V. A. (2021). Threats and Solutions to Biodiversity, Cultural Culinary Diversity and Food Sovereignty.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Women's Food Matters: Stirring the Pot</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151-185.</w:t>
      </w:r>
    </w:p>
    <w:p w14:paraId="4F943DF7">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Telenko, O., &amp; Kurbet, O. (2023). Postcolonial Theory and Its Application to the Post-Soviet States.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Ìstorìâ narodnogo gospodarstva ta ekonomìčnoï dumki Ukraïni.</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 DOI: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"https://consensus.app/papers/postcolonial-theory-and-its-application-to-the-postsoviet-telenko-kurbet/4d2a31277f4759299d3c76a17dd7c6b3/?utm_source=chatgpt" \t "_new" </w:instrText>
      </w:r>
      <w:r>
        <w:rPr>
          <w:color w:val="000000" w:themeColor="text1"/>
          <w14:textFill>
            <w14:solidFill>
              <w14:schemeClr w14:val="tx1"/>
            </w14:solidFill>
          </w14:textFill>
        </w:rPr>
        <w:fldChar w:fldCharType="separate"/>
      </w:r>
      <w:r>
        <w:rPr>
          <w:rFonts w:eastAsia="Times New Roman" w:asciiTheme="majorBidi" w:hAnsiTheme="majorBidi" w:cstheme="majorBidi"/>
          <w:color w:val="000000" w:themeColor="text1"/>
          <w:kern w:val="0"/>
          <w:sz w:val="24"/>
          <w:szCs w:val="24"/>
          <w:u w:val="single"/>
          <w14:textFill>
            <w14:solidFill>
              <w14:schemeClr w14:val="tx1"/>
            </w14:solidFill>
          </w14:textFill>
          <w14:ligatures w14:val="none"/>
        </w:rPr>
        <w:t>10.15407/ingedu2023.56.255</w:t>
      </w:r>
      <w:r>
        <w:rPr>
          <w:rFonts w:eastAsia="Times New Roman" w:asciiTheme="majorBidi" w:hAnsiTheme="majorBidi" w:cstheme="majorBidi"/>
          <w:color w:val="000000" w:themeColor="text1"/>
          <w:kern w:val="0"/>
          <w:sz w:val="24"/>
          <w:szCs w:val="24"/>
          <w:u w:val="single"/>
          <w14:textFill>
            <w14:solidFill>
              <w14:schemeClr w14:val="tx1"/>
            </w14:solidFill>
          </w14:textFill>
          <w14:ligatures w14:val="none"/>
        </w:rPr>
        <w:fldChar w:fldCharType="end"/>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w:t>
      </w:r>
    </w:p>
    <w:p w14:paraId="051A10B0">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Trott, S. (2024). Sowing discord: A critical discourse analysis of seeds and struggle in the Plantationocene. LSE Journal of Geography &amp; Environment, 2(1), 1-15.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"https://jge.lse.ac.uk/articles/45/files/66a8e26d7b18a.pdf"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t>https://jge.lse.ac.uk/articles/45/files/66a8e26d7b18a.pdf</w:t>
      </w:r>
      <w:r>
        <w:rPr>
          <w:rStyle w:val="16"/>
          <w:rFonts w:eastAsia="Times New Roman" w:asciiTheme="majorBidi" w:hAnsiTheme="majorBidi" w:cstheme="majorBidi"/>
          <w:color w:val="000000" w:themeColor="text1"/>
          <w:kern w:val="0"/>
          <w:sz w:val="24"/>
          <w:szCs w:val="24"/>
          <w14:textFill>
            <w14:solidFill>
              <w14:schemeClr w14:val="tx1"/>
            </w14:solidFill>
          </w14:textFill>
          <w14:ligatures w14:val="none"/>
        </w:rPr>
        <w:fldChar w:fldCharType="end"/>
      </w:r>
    </w:p>
    <w:p w14:paraId="53FEEF40">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Whyte, K. P. (2016). Indigenous food sovereignty, renewal, and US settler colonialism. In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The Routledge handbook of food ethics</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(pp. 354-365). Routledge.</w:t>
      </w:r>
    </w:p>
    <w:p w14:paraId="762D56BE">
      <w:pPr>
        <w:spacing w:after="0" w:line="240" w:lineRule="auto"/>
        <w:ind w:left="720" w:hanging="630"/>
        <w:jc w:val="both"/>
        <w:rPr>
          <w:rFonts w:eastAsia="Times New Roman" w:asciiTheme="majorBidi" w:hAnsiTheme="majorBidi" w:cstheme="majorBidi"/>
          <w:color w:val="000000" w:themeColor="text1"/>
          <w:kern w:val="0"/>
          <w:sz w:val="24"/>
          <w:szCs w:val="24"/>
          <w14:textFill>
            <w14:solidFill>
              <w14:schemeClr w14:val="tx1"/>
            </w14:solidFill>
          </w14:textFill>
          <w14:ligatures w14:val="none"/>
        </w:rPr>
      </w:pP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Wodak, R., &amp; Meyer, M. (2015). Critical discourse studies: History, agenda, theory and methodology. In </w:t>
      </w:r>
      <w:r>
        <w:rPr>
          <w:rFonts w:eastAsia="Times New Roman" w:asciiTheme="majorBidi" w:hAnsiTheme="majorBidi" w:cstheme="majorBidi"/>
          <w:i/>
          <w:iCs/>
          <w:color w:val="000000" w:themeColor="text1"/>
          <w:kern w:val="0"/>
          <w:sz w:val="24"/>
          <w:szCs w:val="24"/>
          <w14:textFill>
            <w14:solidFill>
              <w14:schemeClr w14:val="tx1"/>
            </w14:solidFill>
          </w14:textFill>
          <w14:ligatures w14:val="none"/>
        </w:rPr>
        <w:t>Methods of Critical Discourse Studies</w:t>
      </w:r>
      <w:r>
        <w:rPr>
          <w:rFonts w:eastAsia="Times New Roman" w:asciiTheme="majorBidi" w:hAnsiTheme="majorBidi" w:cstheme="majorBidi"/>
          <w:color w:val="000000" w:themeColor="text1"/>
          <w:kern w:val="0"/>
          <w:sz w:val="24"/>
          <w:szCs w:val="24"/>
          <w14:textFill>
            <w14:solidFill>
              <w14:schemeClr w14:val="tx1"/>
            </w14:solidFill>
          </w14:textFill>
          <w14:ligatures w14:val="none"/>
        </w:rPr>
        <w:t xml:space="preserve"> (3rd ed., pp. 1–22). SAGE Publications.</w:t>
      </w:r>
    </w:p>
    <w:p w14:paraId="4465B7D3">
      <w:pPr>
        <w:spacing w:after="0" w:line="240" w:lineRule="auto"/>
        <w:ind w:left="720" w:hanging="630"/>
        <w:jc w:val="both"/>
        <w:rPr>
          <w:color w:val="000000" w:themeColor="text1"/>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Xu, Z., &amp; Lu, Y. (2019). Imagining GMOs: the Chinese public's scientific perception in the digital age. </w:t>
      </w:r>
      <w:r>
        <w:rPr>
          <w:rFonts w:asciiTheme="majorBidi" w:hAnsiTheme="majorBidi" w:cstheme="majorBidi"/>
          <w:i/>
          <w:iCs/>
          <w:color w:val="000000" w:themeColor="text1"/>
          <w:sz w:val="24"/>
          <w:szCs w:val="24"/>
          <w:shd w:val="clear" w:color="auto" w:fill="FFFFFF"/>
          <w14:textFill>
            <w14:solidFill>
              <w14:schemeClr w14:val="tx1"/>
            </w14:solidFill>
          </w14:textFill>
        </w:rPr>
        <w:t>Cultures of Science</w:t>
      </w:r>
      <w:r>
        <w:rPr>
          <w:rFonts w:asciiTheme="majorBidi" w:hAnsiTheme="majorBidi" w:cstheme="majorBidi"/>
          <w:color w:val="000000" w:themeColor="text1"/>
          <w:sz w:val="24"/>
          <w:szCs w:val="24"/>
          <w:shd w:val="clear" w:color="auto" w:fill="FFFFFF"/>
          <w14:textFill>
            <w14:solidFill>
              <w14:schemeClr w14:val="tx1"/>
            </w14:solidFill>
          </w14:textFill>
        </w:rPr>
        <w:t>, </w:t>
      </w:r>
      <w:r>
        <w:rPr>
          <w:rFonts w:asciiTheme="majorBidi" w:hAnsiTheme="majorBidi" w:cstheme="majorBidi"/>
          <w:i/>
          <w:iCs/>
          <w:color w:val="000000" w:themeColor="text1"/>
          <w:sz w:val="24"/>
          <w:szCs w:val="24"/>
          <w:shd w:val="clear" w:color="auto" w:fill="FFFFFF"/>
          <w14:textFill>
            <w14:solidFill>
              <w14:schemeClr w14:val="tx1"/>
            </w14:solidFill>
          </w14:textFill>
        </w:rPr>
        <w:t>2</w:t>
      </w:r>
      <w:r>
        <w:rPr>
          <w:rFonts w:asciiTheme="majorBidi" w:hAnsiTheme="majorBidi" w:cstheme="majorBidi"/>
          <w:color w:val="000000" w:themeColor="text1"/>
          <w:sz w:val="24"/>
          <w:szCs w:val="24"/>
          <w:shd w:val="clear" w:color="auto" w:fill="FFFFFF"/>
          <w14:textFill>
            <w14:solidFill>
              <w14:schemeClr w14:val="tx1"/>
            </w14:solidFill>
          </w14:textFill>
        </w:rPr>
        <w:t xml:space="preserve">(4), 241-253.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"https://doi.org/10.1177/209660831900200402" </w:instrText>
      </w:r>
      <w:r>
        <w:rPr>
          <w:color w:val="000000" w:themeColor="text1"/>
          <w14:textFill>
            <w14:solidFill>
              <w14:schemeClr w14:val="tx1"/>
            </w14:solidFill>
          </w14:textFill>
        </w:rPr>
        <w:fldChar w:fldCharType="separate"/>
      </w:r>
      <w:r>
        <w:rPr>
          <w:rStyle w:val="16"/>
          <w:rFonts w:eastAsia="Times New Roman" w:asciiTheme="majorBidi" w:hAnsiTheme="majorBidi" w:cstheme="majorBidi"/>
          <w:color w:val="000000" w:themeColor="text1"/>
          <w:sz w:val="24"/>
          <w:szCs w:val="24"/>
          <w:shd w:val="clear" w:color="auto" w:fill="FFFFFF"/>
          <w14:textFill>
            <w14:solidFill>
              <w14:schemeClr w14:val="tx1"/>
            </w14:solidFill>
          </w14:textFill>
        </w:rPr>
        <w:t>https://doi.org/10.1177/209660831900200402</w:t>
      </w:r>
      <w:r>
        <w:rPr>
          <w:rStyle w:val="16"/>
          <w:rFonts w:eastAsia="Times New Roman" w:asciiTheme="majorBidi" w:hAnsiTheme="majorBidi" w:cstheme="majorBidi"/>
          <w:color w:val="000000" w:themeColor="text1"/>
          <w:sz w:val="24"/>
          <w:szCs w:val="24"/>
          <w:shd w:val="clear" w:color="auto" w:fill="FFFFFF"/>
          <w14:textFill>
            <w14:solidFill>
              <w14:schemeClr w14:val="tx1"/>
            </w14:solidFill>
          </w14:textFill>
        </w:rPr>
        <w:fldChar w:fldCharType="end"/>
      </w:r>
    </w:p>
    <w:p w14:paraId="77C68CF9">
      <w:pPr>
        <w:pStyle w:val="17"/>
        <w:rPr>
          <w:rFonts w:ascii="Arial" w:hAnsi="Arial" w:cs="Arial"/>
          <w:color w:val="000000" w:themeColor="text1"/>
          <w:sz w:val="20"/>
          <w:szCs w:val="20"/>
          <w:shd w:val="clear" w:color="auto" w:fill="FFFFFF"/>
          <w14:textFill>
            <w14:solidFill>
              <w14:schemeClr w14:val="tx1"/>
            </w14:solidFill>
          </w14:textFill>
        </w:rPr>
      </w:pPr>
    </w:p>
    <w:p w14:paraId="29235B37">
      <w:pPr>
        <w:pStyle w:val="17"/>
        <w:rPr>
          <w:rFonts w:ascii="Arial" w:hAnsi="Arial" w:cs="Arial"/>
          <w:color w:val="000000" w:themeColor="text1"/>
          <w:sz w:val="20"/>
          <w:szCs w:val="20"/>
          <w:shd w:val="clear" w:color="auto" w:fill="FFFFFF"/>
          <w14:textFill>
            <w14:solidFill>
              <w14:schemeClr w14:val="tx1"/>
            </w14:solidFill>
          </w14:textFill>
        </w:rPr>
      </w:pPr>
    </w:p>
    <w:p w14:paraId="795DB84A">
      <w:pPr>
        <w:pStyle w:val="17"/>
        <w:rPr>
          <w:rFonts w:ascii="Arial" w:hAnsi="Arial" w:cs="Arial"/>
          <w:color w:val="000000" w:themeColor="text1"/>
          <w:sz w:val="20"/>
          <w:szCs w:val="20"/>
          <w:shd w:val="clear" w:color="auto" w:fill="FFFFFF"/>
          <w14:textFill>
            <w14:solidFill>
              <w14:schemeClr w14:val="tx1"/>
            </w14:solidFill>
          </w14:textFill>
        </w:rPr>
      </w:pPr>
    </w:p>
    <w:p w14:paraId="573A865D">
      <w:pPr>
        <w:pStyle w:val="17"/>
        <w:rPr>
          <w:color w:val="000000" w:themeColor="text1"/>
          <w14:textFill>
            <w14:solidFill>
              <w14:schemeClr w14:val="tx1"/>
            </w14:solidFill>
          </w14:textFill>
        </w:rPr>
      </w:pPr>
    </w:p>
    <w:p w14:paraId="6822A045">
      <w:pPr>
        <w:spacing w:before="100" w:beforeAutospacing="1" w:after="100" w:afterAutospacing="1" w:line="240" w:lineRule="auto"/>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p>
    <w:p w14:paraId="7DFCD6A5">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p>
    <w:p w14:paraId="786F8378">
      <w:pPr>
        <w:spacing w:after="0" w:line="240" w:lineRule="auto"/>
        <w:ind w:left="720" w:hanging="630"/>
        <w:jc w:val="both"/>
        <w:rPr>
          <w:rFonts w:ascii="Times New Roman" w:hAnsi="Times New Roman" w:eastAsia="Times New Roman" w:cs="Times New Roman"/>
          <w:color w:val="000000" w:themeColor="text1"/>
          <w:kern w:val="0"/>
          <w:sz w:val="24"/>
          <w:szCs w:val="24"/>
          <w14:textFill>
            <w14:solidFill>
              <w14:schemeClr w14:val="tx1"/>
            </w14:solidFill>
          </w14:textFill>
          <w14:ligatures w14:val="none"/>
        </w:rPr>
      </w:pPr>
    </w:p>
    <w:p w14:paraId="7D23D8D4">
      <w:pPr>
        <w:rPr>
          <w:rFonts w:asciiTheme="majorBidi" w:hAnsiTheme="majorBidi" w:cstheme="majorBidi"/>
          <w:b/>
          <w:bCs/>
          <w:color w:val="000000" w:themeColor="text1"/>
          <w:sz w:val="28"/>
          <w:szCs w:val="28"/>
          <w14:textFill>
            <w14:solidFill>
              <w14:schemeClr w14:val="tx1"/>
            </w14:solidFill>
          </w14:textFill>
        </w:rPr>
      </w:pPr>
    </w:p>
    <w:p w14:paraId="45B06300">
      <w:pPr>
        <w:rPr>
          <w:rFonts w:asciiTheme="majorBidi" w:hAnsiTheme="majorBidi" w:cstheme="majorBidi"/>
          <w:b/>
          <w:bCs/>
          <w:color w:val="000000" w:themeColor="text1"/>
          <w:sz w:val="28"/>
          <w:szCs w:val="28"/>
          <w14:textFill>
            <w14:solidFill>
              <w14:schemeClr w14:val="tx1"/>
            </w14:solidFill>
          </w14:textFill>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579804"/>
      <w:docPartObj>
        <w:docPartGallery w:val="autotext"/>
      </w:docPartObj>
    </w:sdtPr>
    <w:sdtContent>
      <w:p w14:paraId="6D479DAF">
        <w:pPr>
          <w:pStyle w:val="14"/>
          <w:jc w:val="center"/>
        </w:pPr>
        <w:r>
          <w:fldChar w:fldCharType="begin"/>
        </w:r>
        <w:r>
          <w:instrText xml:space="preserve"> PAGE   \* MERGEFORMAT </w:instrText>
        </w:r>
        <w:r>
          <w:fldChar w:fldCharType="separate"/>
        </w:r>
        <w:r>
          <w:t>2</w:t>
        </w:r>
        <w:r>
          <w:fldChar w:fldCharType="end"/>
        </w:r>
      </w:p>
    </w:sdtContent>
  </w:sdt>
  <w:p w14:paraId="1564496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27D1">
    <w:pPr>
      <w:pStyle w:val="15"/>
    </w:pPr>
  </w:p>
  <w:p w14:paraId="5983496C">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29"/>
    <w:rsid w:val="000055D4"/>
    <w:rsid w:val="00016439"/>
    <w:rsid w:val="00037C1B"/>
    <w:rsid w:val="00042DC0"/>
    <w:rsid w:val="00044D2A"/>
    <w:rsid w:val="00071235"/>
    <w:rsid w:val="00082677"/>
    <w:rsid w:val="00087F9E"/>
    <w:rsid w:val="000908FC"/>
    <w:rsid w:val="000A6A9A"/>
    <w:rsid w:val="000B7F22"/>
    <w:rsid w:val="000C095A"/>
    <w:rsid w:val="000C1F1C"/>
    <w:rsid w:val="000C65EB"/>
    <w:rsid w:val="000D18C2"/>
    <w:rsid w:val="000E4DB7"/>
    <w:rsid w:val="000F1DA9"/>
    <w:rsid w:val="000F21AE"/>
    <w:rsid w:val="000F7C3B"/>
    <w:rsid w:val="00100BBB"/>
    <w:rsid w:val="001031FB"/>
    <w:rsid w:val="0010702F"/>
    <w:rsid w:val="00126A88"/>
    <w:rsid w:val="00147975"/>
    <w:rsid w:val="0015341E"/>
    <w:rsid w:val="001537E6"/>
    <w:rsid w:val="00157B7D"/>
    <w:rsid w:val="00165996"/>
    <w:rsid w:val="001767B5"/>
    <w:rsid w:val="00181C0C"/>
    <w:rsid w:val="001A4B94"/>
    <w:rsid w:val="001B3A28"/>
    <w:rsid w:val="001B7DCD"/>
    <w:rsid w:val="001C4251"/>
    <w:rsid w:val="001C7C4C"/>
    <w:rsid w:val="001D57F9"/>
    <w:rsid w:val="001F0210"/>
    <w:rsid w:val="002024CD"/>
    <w:rsid w:val="00205366"/>
    <w:rsid w:val="00237DE2"/>
    <w:rsid w:val="0024209A"/>
    <w:rsid w:val="002570EA"/>
    <w:rsid w:val="002669A6"/>
    <w:rsid w:val="00275BDA"/>
    <w:rsid w:val="00276B3F"/>
    <w:rsid w:val="00295F33"/>
    <w:rsid w:val="002B42C1"/>
    <w:rsid w:val="002B780B"/>
    <w:rsid w:val="002D0751"/>
    <w:rsid w:val="002F0347"/>
    <w:rsid w:val="002F0C47"/>
    <w:rsid w:val="002F4F15"/>
    <w:rsid w:val="00301050"/>
    <w:rsid w:val="003018ED"/>
    <w:rsid w:val="00302976"/>
    <w:rsid w:val="00306A43"/>
    <w:rsid w:val="00310B12"/>
    <w:rsid w:val="0031170D"/>
    <w:rsid w:val="00311CA7"/>
    <w:rsid w:val="003417EC"/>
    <w:rsid w:val="00346CEC"/>
    <w:rsid w:val="00350B31"/>
    <w:rsid w:val="00351AF4"/>
    <w:rsid w:val="0036288A"/>
    <w:rsid w:val="00371962"/>
    <w:rsid w:val="00372159"/>
    <w:rsid w:val="00377FF8"/>
    <w:rsid w:val="00391F0B"/>
    <w:rsid w:val="003A086A"/>
    <w:rsid w:val="003C7157"/>
    <w:rsid w:val="003C79AA"/>
    <w:rsid w:val="003D0060"/>
    <w:rsid w:val="003E0F03"/>
    <w:rsid w:val="003F788A"/>
    <w:rsid w:val="00414C9D"/>
    <w:rsid w:val="00432A59"/>
    <w:rsid w:val="004335AA"/>
    <w:rsid w:val="00441433"/>
    <w:rsid w:val="004517BA"/>
    <w:rsid w:val="004617D5"/>
    <w:rsid w:val="0046426C"/>
    <w:rsid w:val="004642D4"/>
    <w:rsid w:val="00464A27"/>
    <w:rsid w:val="004758C3"/>
    <w:rsid w:val="00485B7F"/>
    <w:rsid w:val="00494274"/>
    <w:rsid w:val="004A492B"/>
    <w:rsid w:val="004B7633"/>
    <w:rsid w:val="004C197D"/>
    <w:rsid w:val="00500C2E"/>
    <w:rsid w:val="0051241F"/>
    <w:rsid w:val="00512C05"/>
    <w:rsid w:val="00516578"/>
    <w:rsid w:val="005253C2"/>
    <w:rsid w:val="005347B6"/>
    <w:rsid w:val="00545A57"/>
    <w:rsid w:val="0054781C"/>
    <w:rsid w:val="00554E09"/>
    <w:rsid w:val="00555C39"/>
    <w:rsid w:val="005946D3"/>
    <w:rsid w:val="005A0F20"/>
    <w:rsid w:val="005B42C6"/>
    <w:rsid w:val="005C1F18"/>
    <w:rsid w:val="005C4557"/>
    <w:rsid w:val="005C4ED9"/>
    <w:rsid w:val="005F66FA"/>
    <w:rsid w:val="00604E1E"/>
    <w:rsid w:val="00607370"/>
    <w:rsid w:val="00614439"/>
    <w:rsid w:val="00615CA9"/>
    <w:rsid w:val="00630500"/>
    <w:rsid w:val="0063495D"/>
    <w:rsid w:val="00643209"/>
    <w:rsid w:val="00652665"/>
    <w:rsid w:val="006716FE"/>
    <w:rsid w:val="00687659"/>
    <w:rsid w:val="00692544"/>
    <w:rsid w:val="00693750"/>
    <w:rsid w:val="00694863"/>
    <w:rsid w:val="006A348E"/>
    <w:rsid w:val="006A4EE3"/>
    <w:rsid w:val="006B14F3"/>
    <w:rsid w:val="006B7A34"/>
    <w:rsid w:val="006B7F42"/>
    <w:rsid w:val="006C2FA7"/>
    <w:rsid w:val="006C384B"/>
    <w:rsid w:val="006D2A3D"/>
    <w:rsid w:val="006D32E1"/>
    <w:rsid w:val="006D7A6D"/>
    <w:rsid w:val="006E6C5E"/>
    <w:rsid w:val="006F7F53"/>
    <w:rsid w:val="007151A7"/>
    <w:rsid w:val="00721D6B"/>
    <w:rsid w:val="00725195"/>
    <w:rsid w:val="00726456"/>
    <w:rsid w:val="007267FF"/>
    <w:rsid w:val="00730D75"/>
    <w:rsid w:val="00730F03"/>
    <w:rsid w:val="0073575A"/>
    <w:rsid w:val="00747829"/>
    <w:rsid w:val="00751B65"/>
    <w:rsid w:val="00751D7A"/>
    <w:rsid w:val="00762CA1"/>
    <w:rsid w:val="00764FF9"/>
    <w:rsid w:val="0077350C"/>
    <w:rsid w:val="007737A9"/>
    <w:rsid w:val="00777B4F"/>
    <w:rsid w:val="0079379F"/>
    <w:rsid w:val="007B26DC"/>
    <w:rsid w:val="007B401E"/>
    <w:rsid w:val="007B54F7"/>
    <w:rsid w:val="007B7300"/>
    <w:rsid w:val="007B7F6B"/>
    <w:rsid w:val="007D1BEE"/>
    <w:rsid w:val="007D2BB4"/>
    <w:rsid w:val="007D6489"/>
    <w:rsid w:val="007E6769"/>
    <w:rsid w:val="007F102D"/>
    <w:rsid w:val="007F478C"/>
    <w:rsid w:val="007F70A7"/>
    <w:rsid w:val="00804DB7"/>
    <w:rsid w:val="00833481"/>
    <w:rsid w:val="0084151A"/>
    <w:rsid w:val="00842DB1"/>
    <w:rsid w:val="00846354"/>
    <w:rsid w:val="008565BA"/>
    <w:rsid w:val="0087526D"/>
    <w:rsid w:val="008827F8"/>
    <w:rsid w:val="008B285E"/>
    <w:rsid w:val="008B4D7A"/>
    <w:rsid w:val="008B705D"/>
    <w:rsid w:val="008C781F"/>
    <w:rsid w:val="008D3588"/>
    <w:rsid w:val="008D3C04"/>
    <w:rsid w:val="00903C9E"/>
    <w:rsid w:val="00916222"/>
    <w:rsid w:val="00917603"/>
    <w:rsid w:val="00921680"/>
    <w:rsid w:val="00922A21"/>
    <w:rsid w:val="0092620E"/>
    <w:rsid w:val="00935C10"/>
    <w:rsid w:val="00944E34"/>
    <w:rsid w:val="00946F74"/>
    <w:rsid w:val="00950616"/>
    <w:rsid w:val="009601ED"/>
    <w:rsid w:val="00982A8D"/>
    <w:rsid w:val="009836B9"/>
    <w:rsid w:val="00983A82"/>
    <w:rsid w:val="00995F11"/>
    <w:rsid w:val="009A55D7"/>
    <w:rsid w:val="009B01D9"/>
    <w:rsid w:val="009B7F4A"/>
    <w:rsid w:val="009C4D63"/>
    <w:rsid w:val="009C6B6F"/>
    <w:rsid w:val="009D5F6A"/>
    <w:rsid w:val="009F56B4"/>
    <w:rsid w:val="00A02AB8"/>
    <w:rsid w:val="00A04676"/>
    <w:rsid w:val="00A1126F"/>
    <w:rsid w:val="00A1637C"/>
    <w:rsid w:val="00A23011"/>
    <w:rsid w:val="00A259AA"/>
    <w:rsid w:val="00A27064"/>
    <w:rsid w:val="00A35A00"/>
    <w:rsid w:val="00A546D9"/>
    <w:rsid w:val="00A6467E"/>
    <w:rsid w:val="00A70F39"/>
    <w:rsid w:val="00A71E4A"/>
    <w:rsid w:val="00A77257"/>
    <w:rsid w:val="00A82333"/>
    <w:rsid w:val="00A919AF"/>
    <w:rsid w:val="00AB001F"/>
    <w:rsid w:val="00AB1A2C"/>
    <w:rsid w:val="00AC4529"/>
    <w:rsid w:val="00AE7833"/>
    <w:rsid w:val="00B010D2"/>
    <w:rsid w:val="00B01643"/>
    <w:rsid w:val="00B0413F"/>
    <w:rsid w:val="00B10531"/>
    <w:rsid w:val="00B23306"/>
    <w:rsid w:val="00B24EAF"/>
    <w:rsid w:val="00B27530"/>
    <w:rsid w:val="00B30A30"/>
    <w:rsid w:val="00B4266E"/>
    <w:rsid w:val="00B6094E"/>
    <w:rsid w:val="00B72AFC"/>
    <w:rsid w:val="00B84E09"/>
    <w:rsid w:val="00BA2A88"/>
    <w:rsid w:val="00BA4C91"/>
    <w:rsid w:val="00BA57ED"/>
    <w:rsid w:val="00BD28F4"/>
    <w:rsid w:val="00BF2E77"/>
    <w:rsid w:val="00BF38F2"/>
    <w:rsid w:val="00BF6724"/>
    <w:rsid w:val="00C16E70"/>
    <w:rsid w:val="00C1714A"/>
    <w:rsid w:val="00C27D76"/>
    <w:rsid w:val="00C329B0"/>
    <w:rsid w:val="00C4219A"/>
    <w:rsid w:val="00C443E6"/>
    <w:rsid w:val="00C44B3A"/>
    <w:rsid w:val="00C77C3A"/>
    <w:rsid w:val="00C95001"/>
    <w:rsid w:val="00CA7FA5"/>
    <w:rsid w:val="00CC6969"/>
    <w:rsid w:val="00CE4778"/>
    <w:rsid w:val="00CE49D9"/>
    <w:rsid w:val="00CE5299"/>
    <w:rsid w:val="00CF0925"/>
    <w:rsid w:val="00D0217B"/>
    <w:rsid w:val="00D16905"/>
    <w:rsid w:val="00D42D9B"/>
    <w:rsid w:val="00D4750D"/>
    <w:rsid w:val="00D51DB0"/>
    <w:rsid w:val="00D56FD8"/>
    <w:rsid w:val="00D807AB"/>
    <w:rsid w:val="00D83671"/>
    <w:rsid w:val="00D85DEB"/>
    <w:rsid w:val="00D908B3"/>
    <w:rsid w:val="00D914F4"/>
    <w:rsid w:val="00D93E31"/>
    <w:rsid w:val="00D961EF"/>
    <w:rsid w:val="00DC4108"/>
    <w:rsid w:val="00DD30A8"/>
    <w:rsid w:val="00DE798E"/>
    <w:rsid w:val="00DE7C90"/>
    <w:rsid w:val="00E0055C"/>
    <w:rsid w:val="00E43864"/>
    <w:rsid w:val="00E45EFD"/>
    <w:rsid w:val="00E558EB"/>
    <w:rsid w:val="00E66790"/>
    <w:rsid w:val="00E752D8"/>
    <w:rsid w:val="00E760CC"/>
    <w:rsid w:val="00E945E7"/>
    <w:rsid w:val="00E94B37"/>
    <w:rsid w:val="00EA5FB5"/>
    <w:rsid w:val="00EC3450"/>
    <w:rsid w:val="00ED3CD2"/>
    <w:rsid w:val="00EE2715"/>
    <w:rsid w:val="00F00876"/>
    <w:rsid w:val="00F0117C"/>
    <w:rsid w:val="00F1197B"/>
    <w:rsid w:val="00F1461C"/>
    <w:rsid w:val="00F25292"/>
    <w:rsid w:val="00F35484"/>
    <w:rsid w:val="00F5255C"/>
    <w:rsid w:val="00F5557F"/>
    <w:rsid w:val="00F55DFE"/>
    <w:rsid w:val="00F713EB"/>
    <w:rsid w:val="00F72A5B"/>
    <w:rsid w:val="00F7748D"/>
    <w:rsid w:val="00F80611"/>
    <w:rsid w:val="00FA4DB1"/>
    <w:rsid w:val="00FA5799"/>
    <w:rsid w:val="00FB2F8F"/>
    <w:rsid w:val="00FC771E"/>
    <w:rsid w:val="00FD4343"/>
    <w:rsid w:val="01ED1B48"/>
    <w:rsid w:val="046E7184"/>
    <w:rsid w:val="0586291D"/>
    <w:rsid w:val="17AD5D7D"/>
    <w:rsid w:val="1A0D324C"/>
    <w:rsid w:val="226B4005"/>
    <w:rsid w:val="23874C53"/>
    <w:rsid w:val="26735E2D"/>
    <w:rsid w:val="2CB43665"/>
    <w:rsid w:val="37D54F27"/>
    <w:rsid w:val="3F081E7A"/>
    <w:rsid w:val="40546B1B"/>
    <w:rsid w:val="4B2E2D35"/>
    <w:rsid w:val="520E792B"/>
    <w:rsid w:val="541C548D"/>
    <w:rsid w:val="5F5F75D4"/>
    <w:rsid w:val="621517BC"/>
    <w:rsid w:val="6459798E"/>
    <w:rsid w:val="6A68311E"/>
    <w:rsid w:val="724E3E7A"/>
    <w:rsid w:val="76B33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2"/>
    <w:unhideWhenUsed/>
    <w:qFormat/>
    <w:uiPriority w:val="99"/>
    <w:pPr>
      <w:tabs>
        <w:tab w:val="center" w:pos="4680"/>
        <w:tab w:val="right" w:pos="9360"/>
      </w:tabs>
      <w:spacing w:after="0" w:line="240" w:lineRule="auto"/>
    </w:pPr>
  </w:style>
  <w:style w:type="paragraph" w:styleId="15">
    <w:name w:val="header"/>
    <w:basedOn w:val="1"/>
    <w:link w:val="41"/>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8">
    <w:name w:val="Strong"/>
    <w:basedOn w:val="11"/>
    <w:qFormat/>
    <w:uiPriority w:val="22"/>
    <w:rPr>
      <w:b/>
      <w:bCs/>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qFormat/>
    <w:uiPriority w:val="9"/>
    <w:rPr>
      <w:rFonts w:eastAsiaTheme="majorEastAsia" w:cstheme="majorBidi"/>
      <w:color w:val="104862"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104862" w:themeColor="accent1" w:themeShade="BF"/>
    </w:rPr>
  </w:style>
  <w:style w:type="character" w:customStyle="1" w:styleId="26">
    <w:name w:val="Heading 5 Char"/>
    <w:basedOn w:val="11"/>
    <w:link w:val="6"/>
    <w:semiHidden/>
    <w:qFormat/>
    <w:uiPriority w:val="9"/>
    <w:rPr>
      <w:rFonts w:eastAsiaTheme="majorEastAsia" w:cstheme="majorBidi"/>
      <w:color w:val="104862"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qFormat/>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Unresolved Mention"/>
    <w:basedOn w:val="11"/>
    <w:semiHidden/>
    <w:unhideWhenUsed/>
    <w:qFormat/>
    <w:uiPriority w:val="99"/>
    <w:rPr>
      <w:color w:val="605E5C"/>
      <w:shd w:val="clear" w:color="auto" w:fill="E1DFDD"/>
    </w:rPr>
  </w:style>
  <w:style w:type="character" w:customStyle="1" w:styleId="41">
    <w:name w:val="Header Char"/>
    <w:basedOn w:val="11"/>
    <w:link w:val="15"/>
    <w:qFormat/>
    <w:uiPriority w:val="99"/>
  </w:style>
  <w:style w:type="character" w:customStyle="1" w:styleId="42">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6BDF-E653-4941-8B81-17EB5DC1F8AE}">
  <ds:schemaRefs/>
</ds:datastoreItem>
</file>

<file path=docProps/app.xml><?xml version="1.0" encoding="utf-8"?>
<Properties xmlns="http://schemas.openxmlformats.org/officeDocument/2006/extended-properties" xmlns:vt="http://schemas.openxmlformats.org/officeDocument/2006/docPropsVTypes">
  <Template>Normal</Template>
  <Pages>5</Pages>
  <Words>12327</Words>
  <Characters>80259</Characters>
  <Lines>2079</Lines>
  <Paragraphs>735</Paragraphs>
  <TotalTime>78</TotalTime>
  <ScaleCrop>false</ScaleCrop>
  <LinksUpToDate>false</LinksUpToDate>
  <CharactersWithSpaces>91884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2025-03-29T06:52:00Z</dcterms:created>
  <dc:creator>Lukman Raimi</dc:creator>
  <cp:lastModifiedBy>Lukman Abdurraheem</cp:lastModifiedBy>
  <dcterms:modified xsi:type="dcterms:W3CDTF">2026-04-14T03:00:56Z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6c0af7fe-f861-44a2-857b-e697326a7911</vt:lpwstr>
  </property>
  <property fmtid="{D5CDD505-2E9C-101B-9397-08002B2CF9AE}" pid="3" name="KSOProductBuildVer">
    <vt:lpwstr>1033-12.2.0.23196</vt:lpwstr>
  </property>
  <property fmtid="{D5CDD505-2E9C-101B-9397-08002B2CF9AE}" pid="4" name="ICV">
    <vt:lpwstr>6BF3ECED3FA84E77BC6311A5F42137F3_13</vt:lpwstr>
  </property>
</Properties>
</file>