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E5A68" w14:textId="77777777" w:rsidR="00AD6543" w:rsidRPr="00AD6543" w:rsidRDefault="00AD6543" w:rsidP="00AD6543">
      <w:pPr>
        <w:rPr>
          <w:b/>
          <w:bCs/>
          <w:lang w:val="en-NG"/>
        </w:rPr>
      </w:pPr>
      <w:r w:rsidRPr="00AD6543">
        <w:rPr>
          <w:b/>
          <w:bCs/>
          <w:lang w:val="en-NG"/>
        </w:rPr>
        <w:t>Background Information</w:t>
      </w:r>
    </w:p>
    <w:p w14:paraId="64DEFBEE" w14:textId="77777777" w:rsidR="00AD6543" w:rsidRPr="00AD6543" w:rsidRDefault="00AD6543" w:rsidP="00AD6543">
      <w:pPr>
        <w:rPr>
          <w:lang w:val="en-NG"/>
        </w:rPr>
      </w:pPr>
      <w:r w:rsidRPr="00AD6543">
        <w:rPr>
          <w:lang w:val="en-NG"/>
        </w:rPr>
        <w:t>Architecture as a discipline integrates creativity, technical knowledge, environmental awareness, and digital innovation. In contemporary architectural education, students are expected to develop competencies not only in design thinking but also in software proficiency, sustainability principles, and practical studio engagement. These competencies collectively influence students’ overall academic and professional performance.</w:t>
      </w:r>
    </w:p>
    <w:p w14:paraId="5973C37C" w14:textId="77777777" w:rsidR="00AD6543" w:rsidRPr="00AD6543" w:rsidRDefault="00AD6543" w:rsidP="00AD6543">
      <w:pPr>
        <w:rPr>
          <w:lang w:val="en-NG"/>
        </w:rPr>
      </w:pPr>
      <w:r w:rsidRPr="00AD6543">
        <w:rPr>
          <w:lang w:val="en-NG"/>
        </w:rPr>
        <w:t xml:space="preserve">In recent years, there has been increasing emphasis on </w:t>
      </w:r>
      <w:r w:rsidRPr="00AD6543">
        <w:rPr>
          <w:b/>
          <w:bCs/>
          <w:lang w:val="en-NG"/>
        </w:rPr>
        <w:t>digital tools</w:t>
      </w:r>
      <w:r w:rsidRPr="00AD6543">
        <w:rPr>
          <w:lang w:val="en-NG"/>
        </w:rPr>
        <w:t xml:space="preserve"> such as Computer-Aided Design (CAD), Building Information Modelling (BIM), and 3D visualization software. Proficiency in these tools is believed to significantly enhance students’ ability to conceptualize and communicate design ideas effectively. At the same time, </w:t>
      </w:r>
      <w:r w:rsidRPr="00AD6543">
        <w:rPr>
          <w:b/>
          <w:bCs/>
          <w:lang w:val="en-NG"/>
        </w:rPr>
        <w:t>studio engagement</w:t>
      </w:r>
      <w:r w:rsidRPr="00AD6543">
        <w:rPr>
          <w:lang w:val="en-NG"/>
        </w:rPr>
        <w:t>—which includes participation in design critiques, consultations, and project development—remains central to architectural training.</w:t>
      </w:r>
    </w:p>
    <w:p w14:paraId="491F46B6" w14:textId="77777777" w:rsidR="00AD6543" w:rsidRPr="00AD6543" w:rsidRDefault="00AD6543" w:rsidP="00AD6543">
      <w:pPr>
        <w:rPr>
          <w:lang w:val="en-NG"/>
        </w:rPr>
      </w:pPr>
      <w:r w:rsidRPr="00AD6543">
        <w:rPr>
          <w:lang w:val="en-NG"/>
        </w:rPr>
        <w:t xml:space="preserve">Another important factor is </w:t>
      </w:r>
      <w:r w:rsidRPr="00AD6543">
        <w:rPr>
          <w:b/>
          <w:bCs/>
          <w:lang w:val="en-NG"/>
        </w:rPr>
        <w:t>sustainability awareness</w:t>
      </w:r>
      <w:r w:rsidRPr="00AD6543">
        <w:rPr>
          <w:lang w:val="en-NG"/>
        </w:rPr>
        <w:t xml:space="preserve">, as modern architecture increasingly prioritizes environmentally responsible design. Students who demonstrate higher awareness of sustainable design principles are expected to produce more innovative and context-sensitive projects. Additionally, </w:t>
      </w:r>
      <w:r w:rsidRPr="00AD6543">
        <w:rPr>
          <w:b/>
          <w:bCs/>
          <w:lang w:val="en-NG"/>
        </w:rPr>
        <w:t>study hours</w:t>
      </w:r>
      <w:r w:rsidRPr="00AD6543">
        <w:rPr>
          <w:lang w:val="en-NG"/>
        </w:rPr>
        <w:t xml:space="preserve"> reflect the level of individual effort and discipline, which may influence learning outcomes.</w:t>
      </w:r>
    </w:p>
    <w:p w14:paraId="4FE885B7" w14:textId="77777777" w:rsidR="00AD6543" w:rsidRPr="00AD6543" w:rsidRDefault="00AD6543" w:rsidP="00AD6543">
      <w:pPr>
        <w:rPr>
          <w:lang w:val="en-NG"/>
        </w:rPr>
      </w:pPr>
      <w:r w:rsidRPr="00AD6543">
        <w:rPr>
          <w:lang w:val="en-NG"/>
        </w:rPr>
        <w:t>Given these factors, it becomes important to examine how they are interrelated. Specifically, understanding the relationships between:</w:t>
      </w:r>
    </w:p>
    <w:p w14:paraId="265E8FE7" w14:textId="77777777" w:rsidR="00AD6543" w:rsidRPr="00AD6543" w:rsidRDefault="00AD6543" w:rsidP="00AD6543">
      <w:pPr>
        <w:numPr>
          <w:ilvl w:val="0"/>
          <w:numId w:val="1"/>
        </w:numPr>
        <w:rPr>
          <w:lang w:val="en-NG"/>
        </w:rPr>
      </w:pPr>
      <w:r w:rsidRPr="00AD6543">
        <w:rPr>
          <w:lang w:val="en-NG"/>
        </w:rPr>
        <w:t xml:space="preserve">Study hours </w:t>
      </w:r>
    </w:p>
    <w:p w14:paraId="14C36344" w14:textId="77777777" w:rsidR="00AD6543" w:rsidRPr="00AD6543" w:rsidRDefault="00AD6543" w:rsidP="00AD6543">
      <w:pPr>
        <w:numPr>
          <w:ilvl w:val="0"/>
          <w:numId w:val="1"/>
        </w:numPr>
        <w:rPr>
          <w:lang w:val="en-NG"/>
        </w:rPr>
      </w:pPr>
      <w:r w:rsidRPr="00AD6543">
        <w:rPr>
          <w:lang w:val="en-NG"/>
        </w:rPr>
        <w:t xml:space="preserve">CAD/software proficiency </w:t>
      </w:r>
    </w:p>
    <w:p w14:paraId="26C3F315" w14:textId="77777777" w:rsidR="00AD6543" w:rsidRPr="00AD6543" w:rsidRDefault="00AD6543" w:rsidP="00AD6543">
      <w:pPr>
        <w:numPr>
          <w:ilvl w:val="0"/>
          <w:numId w:val="1"/>
        </w:numPr>
        <w:rPr>
          <w:lang w:val="en-NG"/>
        </w:rPr>
      </w:pPr>
      <w:r w:rsidRPr="00AD6543">
        <w:rPr>
          <w:lang w:val="en-NG"/>
        </w:rPr>
        <w:t xml:space="preserve">Studio engagement </w:t>
      </w:r>
    </w:p>
    <w:p w14:paraId="46513C21" w14:textId="77777777" w:rsidR="00AD6543" w:rsidRPr="00AD6543" w:rsidRDefault="00AD6543" w:rsidP="00AD6543">
      <w:pPr>
        <w:numPr>
          <w:ilvl w:val="0"/>
          <w:numId w:val="1"/>
        </w:numPr>
        <w:rPr>
          <w:lang w:val="en-NG"/>
        </w:rPr>
      </w:pPr>
      <w:r w:rsidRPr="00AD6543">
        <w:rPr>
          <w:lang w:val="en-NG"/>
        </w:rPr>
        <w:t xml:space="preserve">Sustainability awareness </w:t>
      </w:r>
    </w:p>
    <w:p w14:paraId="357C8D1D" w14:textId="77777777" w:rsidR="00AD6543" w:rsidRPr="00AD6543" w:rsidRDefault="00AD6543" w:rsidP="00AD6543">
      <w:pPr>
        <w:numPr>
          <w:ilvl w:val="0"/>
          <w:numId w:val="1"/>
        </w:numPr>
        <w:rPr>
          <w:lang w:val="en-NG"/>
        </w:rPr>
      </w:pPr>
      <w:r w:rsidRPr="00AD6543">
        <w:rPr>
          <w:lang w:val="en-NG"/>
        </w:rPr>
        <w:t xml:space="preserve">Academic performance </w:t>
      </w:r>
    </w:p>
    <w:p w14:paraId="063E642F" w14:textId="77777777" w:rsidR="00AD6543" w:rsidRPr="00AD6543" w:rsidRDefault="00AD6543" w:rsidP="00AD6543">
      <w:pPr>
        <w:rPr>
          <w:lang w:val="en-NG"/>
        </w:rPr>
      </w:pPr>
      <w:r w:rsidRPr="00AD6543">
        <w:rPr>
          <w:lang w:val="en-NG"/>
        </w:rPr>
        <w:t>can provide insights into key drivers of success in architectural education.</w:t>
      </w:r>
    </w:p>
    <w:p w14:paraId="22961FF7" w14:textId="77777777" w:rsidR="00AD6543" w:rsidRPr="00AD6543" w:rsidRDefault="00AD6543" w:rsidP="00AD6543">
      <w:pPr>
        <w:rPr>
          <w:lang w:val="en-NG"/>
        </w:rPr>
      </w:pPr>
      <w:r w:rsidRPr="00AD6543">
        <w:rPr>
          <w:lang w:val="en-NG"/>
        </w:rPr>
        <w:t xml:space="preserve">This dataset was therefore developed to support </w:t>
      </w:r>
      <w:r w:rsidRPr="00AD6543">
        <w:rPr>
          <w:b/>
          <w:bCs/>
          <w:lang w:val="en-NG"/>
        </w:rPr>
        <w:t>correlation analysis</w:t>
      </w:r>
      <w:r w:rsidRPr="00AD6543">
        <w:rPr>
          <w:lang w:val="en-NG"/>
        </w:rPr>
        <w:t xml:space="preserve">, enabling researchers and students to measure the </w:t>
      </w:r>
      <w:r w:rsidRPr="00AD6543">
        <w:rPr>
          <w:b/>
          <w:bCs/>
          <w:lang w:val="en-NG"/>
        </w:rPr>
        <w:t>strength and direction of relationships</w:t>
      </w:r>
      <w:r w:rsidRPr="00AD6543">
        <w:rPr>
          <w:lang w:val="en-NG"/>
        </w:rPr>
        <w:t xml:space="preserve"> among these variables. The findings can inform curriculum design, teaching strategies, and student support systems within architecture programs.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341"/>
        <w:gridCol w:w="4009"/>
        <w:gridCol w:w="2885"/>
      </w:tblGrid>
      <w:tr w:rsidR="00AD6543" w:rsidRPr="00AD6543" w14:paraId="51E0B352" w14:textId="77777777" w:rsidTr="00AD6543">
        <w:trPr>
          <w:tblHeader/>
          <w:tblCellSpacing w:w="15" w:type="dxa"/>
        </w:trPr>
        <w:tc>
          <w:tcPr>
            <w:tcW w:w="0" w:type="auto"/>
            <w:vAlign w:val="center"/>
            <w:hideMark/>
          </w:tcPr>
          <w:p w14:paraId="2D1C96C8" w14:textId="77777777" w:rsidR="00AD6543" w:rsidRPr="00AD6543" w:rsidRDefault="00AD6543" w:rsidP="00AD6543">
            <w:pPr>
              <w:rPr>
                <w:b/>
                <w:bCs/>
                <w:lang w:val="en-NG"/>
              </w:rPr>
            </w:pPr>
            <w:r w:rsidRPr="00AD6543">
              <w:rPr>
                <w:b/>
                <w:bCs/>
                <w:lang w:val="en-NG"/>
              </w:rPr>
              <w:t>Variable</w:t>
            </w:r>
          </w:p>
        </w:tc>
        <w:tc>
          <w:tcPr>
            <w:tcW w:w="0" w:type="auto"/>
            <w:vAlign w:val="center"/>
            <w:hideMark/>
          </w:tcPr>
          <w:p w14:paraId="3CD149D4" w14:textId="77777777" w:rsidR="00AD6543" w:rsidRPr="00AD6543" w:rsidRDefault="00AD6543" w:rsidP="00AD6543">
            <w:pPr>
              <w:rPr>
                <w:b/>
                <w:bCs/>
                <w:lang w:val="en-NG"/>
              </w:rPr>
            </w:pPr>
            <w:r w:rsidRPr="00AD6543">
              <w:rPr>
                <w:b/>
                <w:bCs/>
                <w:lang w:val="en-NG"/>
              </w:rPr>
              <w:t>Description</w:t>
            </w:r>
          </w:p>
        </w:tc>
        <w:tc>
          <w:tcPr>
            <w:tcW w:w="0" w:type="auto"/>
            <w:vAlign w:val="center"/>
            <w:hideMark/>
          </w:tcPr>
          <w:p w14:paraId="440A1552" w14:textId="77777777" w:rsidR="00AD6543" w:rsidRPr="00AD6543" w:rsidRDefault="00AD6543" w:rsidP="00AD6543">
            <w:pPr>
              <w:rPr>
                <w:b/>
                <w:bCs/>
                <w:lang w:val="en-NG"/>
              </w:rPr>
            </w:pPr>
            <w:r w:rsidRPr="00AD6543">
              <w:rPr>
                <w:b/>
                <w:bCs/>
                <w:lang w:val="en-NG"/>
              </w:rPr>
              <w:t>Coding</w:t>
            </w:r>
          </w:p>
        </w:tc>
      </w:tr>
      <w:tr w:rsidR="00AD6543" w:rsidRPr="00AD6543" w14:paraId="696F46E6" w14:textId="77777777" w:rsidTr="00AD6543">
        <w:trPr>
          <w:tblCellSpacing w:w="15" w:type="dxa"/>
        </w:trPr>
        <w:tc>
          <w:tcPr>
            <w:tcW w:w="0" w:type="auto"/>
            <w:vAlign w:val="center"/>
            <w:hideMark/>
          </w:tcPr>
          <w:p w14:paraId="344C2409" w14:textId="77777777" w:rsidR="00AD6543" w:rsidRPr="00AD6543" w:rsidRDefault="00AD6543" w:rsidP="00AD6543">
            <w:pPr>
              <w:rPr>
                <w:lang w:val="en-NG"/>
              </w:rPr>
            </w:pPr>
            <w:proofErr w:type="spellStart"/>
            <w:r w:rsidRPr="00AD6543">
              <w:rPr>
                <w:lang w:val="en-NG"/>
              </w:rPr>
              <w:t>Study_Hours</w:t>
            </w:r>
            <w:proofErr w:type="spellEnd"/>
          </w:p>
        </w:tc>
        <w:tc>
          <w:tcPr>
            <w:tcW w:w="0" w:type="auto"/>
            <w:vAlign w:val="center"/>
            <w:hideMark/>
          </w:tcPr>
          <w:p w14:paraId="680F3F8A" w14:textId="77777777" w:rsidR="00AD6543" w:rsidRPr="00AD6543" w:rsidRDefault="00AD6543" w:rsidP="00AD6543">
            <w:pPr>
              <w:rPr>
                <w:lang w:val="en-NG"/>
              </w:rPr>
            </w:pPr>
            <w:r w:rsidRPr="00AD6543">
              <w:rPr>
                <w:lang w:val="en-NG"/>
              </w:rPr>
              <w:t>Average weekly hours spent studying</w:t>
            </w:r>
          </w:p>
        </w:tc>
        <w:tc>
          <w:tcPr>
            <w:tcW w:w="0" w:type="auto"/>
            <w:vAlign w:val="center"/>
            <w:hideMark/>
          </w:tcPr>
          <w:p w14:paraId="2C057BE8" w14:textId="77777777" w:rsidR="00AD6543" w:rsidRPr="00AD6543" w:rsidRDefault="00AD6543" w:rsidP="00AD6543">
            <w:pPr>
              <w:rPr>
                <w:lang w:val="en-NG"/>
              </w:rPr>
            </w:pPr>
            <w:r w:rsidRPr="00AD6543">
              <w:rPr>
                <w:lang w:val="en-NG"/>
              </w:rPr>
              <w:t>Continuous (e.g., 5–40 hours)</w:t>
            </w:r>
          </w:p>
        </w:tc>
      </w:tr>
      <w:tr w:rsidR="00AD6543" w:rsidRPr="00AD6543" w14:paraId="7179AA1E" w14:textId="77777777" w:rsidTr="00AD6543">
        <w:trPr>
          <w:tblCellSpacing w:w="15" w:type="dxa"/>
        </w:trPr>
        <w:tc>
          <w:tcPr>
            <w:tcW w:w="0" w:type="auto"/>
            <w:vAlign w:val="center"/>
            <w:hideMark/>
          </w:tcPr>
          <w:p w14:paraId="6CFFDAAA" w14:textId="77777777" w:rsidR="00AD6543" w:rsidRPr="00AD6543" w:rsidRDefault="00AD6543" w:rsidP="00AD6543">
            <w:pPr>
              <w:rPr>
                <w:lang w:val="en-NG"/>
              </w:rPr>
            </w:pPr>
            <w:proofErr w:type="spellStart"/>
            <w:r w:rsidRPr="00AD6543">
              <w:rPr>
                <w:lang w:val="en-NG"/>
              </w:rPr>
              <w:t>CAD_Proficiency</w:t>
            </w:r>
            <w:proofErr w:type="spellEnd"/>
          </w:p>
        </w:tc>
        <w:tc>
          <w:tcPr>
            <w:tcW w:w="0" w:type="auto"/>
            <w:vAlign w:val="center"/>
            <w:hideMark/>
          </w:tcPr>
          <w:p w14:paraId="2E74A84A" w14:textId="77777777" w:rsidR="00AD6543" w:rsidRPr="00AD6543" w:rsidRDefault="00AD6543" w:rsidP="00AD6543">
            <w:pPr>
              <w:rPr>
                <w:lang w:val="en-NG"/>
              </w:rPr>
            </w:pPr>
            <w:r w:rsidRPr="00AD6543">
              <w:rPr>
                <w:lang w:val="en-NG"/>
              </w:rPr>
              <w:t>Level of proficiency in architectural software</w:t>
            </w:r>
          </w:p>
        </w:tc>
        <w:tc>
          <w:tcPr>
            <w:tcW w:w="0" w:type="auto"/>
            <w:vAlign w:val="center"/>
            <w:hideMark/>
          </w:tcPr>
          <w:p w14:paraId="4C68F487" w14:textId="77777777" w:rsidR="00AD6543" w:rsidRPr="00AD6543" w:rsidRDefault="00AD6543" w:rsidP="00AD6543">
            <w:pPr>
              <w:rPr>
                <w:lang w:val="en-NG"/>
              </w:rPr>
            </w:pPr>
            <w:r w:rsidRPr="00AD6543">
              <w:rPr>
                <w:lang w:val="en-NG"/>
              </w:rPr>
              <w:t>1 = Low, 2 = Moderate, 3 = High</w:t>
            </w:r>
          </w:p>
        </w:tc>
      </w:tr>
      <w:tr w:rsidR="00AD6543" w:rsidRPr="00AD6543" w14:paraId="4FD7DB67" w14:textId="77777777" w:rsidTr="00AD6543">
        <w:trPr>
          <w:tblCellSpacing w:w="15" w:type="dxa"/>
        </w:trPr>
        <w:tc>
          <w:tcPr>
            <w:tcW w:w="0" w:type="auto"/>
            <w:vAlign w:val="center"/>
            <w:hideMark/>
          </w:tcPr>
          <w:p w14:paraId="63804140" w14:textId="77777777" w:rsidR="00AD6543" w:rsidRPr="00AD6543" w:rsidRDefault="00AD6543" w:rsidP="00AD6543">
            <w:pPr>
              <w:rPr>
                <w:lang w:val="en-NG"/>
              </w:rPr>
            </w:pPr>
            <w:proofErr w:type="spellStart"/>
            <w:r w:rsidRPr="00AD6543">
              <w:rPr>
                <w:lang w:val="en-NG"/>
              </w:rPr>
              <w:t>Studio_Engagement</w:t>
            </w:r>
            <w:proofErr w:type="spellEnd"/>
          </w:p>
        </w:tc>
        <w:tc>
          <w:tcPr>
            <w:tcW w:w="0" w:type="auto"/>
            <w:vAlign w:val="center"/>
            <w:hideMark/>
          </w:tcPr>
          <w:p w14:paraId="4A5413EF" w14:textId="77777777" w:rsidR="00AD6543" w:rsidRPr="00AD6543" w:rsidRDefault="00AD6543" w:rsidP="00AD6543">
            <w:pPr>
              <w:rPr>
                <w:lang w:val="en-NG"/>
              </w:rPr>
            </w:pPr>
            <w:r w:rsidRPr="00AD6543">
              <w:rPr>
                <w:lang w:val="en-NG"/>
              </w:rPr>
              <w:t>Level of participation in studio activities</w:t>
            </w:r>
          </w:p>
        </w:tc>
        <w:tc>
          <w:tcPr>
            <w:tcW w:w="0" w:type="auto"/>
            <w:vAlign w:val="center"/>
            <w:hideMark/>
          </w:tcPr>
          <w:p w14:paraId="168D8FF1" w14:textId="77777777" w:rsidR="00AD6543" w:rsidRPr="00AD6543" w:rsidRDefault="00AD6543" w:rsidP="00AD6543">
            <w:pPr>
              <w:rPr>
                <w:lang w:val="en-NG"/>
              </w:rPr>
            </w:pPr>
            <w:r w:rsidRPr="00AD6543">
              <w:rPr>
                <w:lang w:val="en-NG"/>
              </w:rPr>
              <w:t>1 = Low, 2 = Moderate, 3 = High</w:t>
            </w:r>
          </w:p>
        </w:tc>
      </w:tr>
      <w:tr w:rsidR="00AD6543" w:rsidRPr="00AD6543" w14:paraId="5FC0A48A" w14:textId="77777777" w:rsidTr="00AD6543">
        <w:trPr>
          <w:tblCellSpacing w:w="15" w:type="dxa"/>
        </w:trPr>
        <w:tc>
          <w:tcPr>
            <w:tcW w:w="0" w:type="auto"/>
            <w:vAlign w:val="center"/>
            <w:hideMark/>
          </w:tcPr>
          <w:p w14:paraId="2708E9DE" w14:textId="77777777" w:rsidR="00AD6543" w:rsidRPr="00AD6543" w:rsidRDefault="00AD6543" w:rsidP="00AD6543">
            <w:pPr>
              <w:rPr>
                <w:lang w:val="en-NG"/>
              </w:rPr>
            </w:pPr>
            <w:proofErr w:type="spellStart"/>
            <w:r w:rsidRPr="00AD6543">
              <w:rPr>
                <w:lang w:val="en-NG"/>
              </w:rPr>
              <w:t>Sustainability_Awareness</w:t>
            </w:r>
            <w:proofErr w:type="spellEnd"/>
          </w:p>
        </w:tc>
        <w:tc>
          <w:tcPr>
            <w:tcW w:w="0" w:type="auto"/>
            <w:vAlign w:val="center"/>
            <w:hideMark/>
          </w:tcPr>
          <w:p w14:paraId="1C00AF42" w14:textId="77777777" w:rsidR="00AD6543" w:rsidRPr="00AD6543" w:rsidRDefault="00AD6543" w:rsidP="00AD6543">
            <w:pPr>
              <w:rPr>
                <w:lang w:val="en-NG"/>
              </w:rPr>
            </w:pPr>
            <w:r w:rsidRPr="00AD6543">
              <w:rPr>
                <w:lang w:val="en-NG"/>
              </w:rPr>
              <w:t>Knowledge of sustainable design principles</w:t>
            </w:r>
          </w:p>
        </w:tc>
        <w:tc>
          <w:tcPr>
            <w:tcW w:w="0" w:type="auto"/>
            <w:vAlign w:val="center"/>
            <w:hideMark/>
          </w:tcPr>
          <w:p w14:paraId="61504700" w14:textId="77777777" w:rsidR="00AD6543" w:rsidRPr="00AD6543" w:rsidRDefault="00AD6543" w:rsidP="00AD6543">
            <w:pPr>
              <w:rPr>
                <w:lang w:val="en-NG"/>
              </w:rPr>
            </w:pPr>
            <w:r w:rsidRPr="00AD6543">
              <w:rPr>
                <w:lang w:val="en-NG"/>
              </w:rPr>
              <w:t>1 = Low, 2 = Moderate, 3 = High</w:t>
            </w:r>
          </w:p>
        </w:tc>
      </w:tr>
      <w:tr w:rsidR="00AD6543" w:rsidRPr="00AD6543" w14:paraId="62CCE59E" w14:textId="77777777" w:rsidTr="00AD6543">
        <w:trPr>
          <w:tblCellSpacing w:w="15" w:type="dxa"/>
        </w:trPr>
        <w:tc>
          <w:tcPr>
            <w:tcW w:w="0" w:type="auto"/>
            <w:vAlign w:val="center"/>
            <w:hideMark/>
          </w:tcPr>
          <w:p w14:paraId="7C751E4B" w14:textId="77777777" w:rsidR="00AD6543" w:rsidRPr="00AD6543" w:rsidRDefault="00AD6543" w:rsidP="00AD6543">
            <w:pPr>
              <w:rPr>
                <w:lang w:val="en-NG"/>
              </w:rPr>
            </w:pPr>
            <w:proofErr w:type="spellStart"/>
            <w:r w:rsidRPr="00AD6543">
              <w:rPr>
                <w:lang w:val="en-NG"/>
              </w:rPr>
              <w:t>Academic_Performance</w:t>
            </w:r>
            <w:proofErr w:type="spellEnd"/>
          </w:p>
        </w:tc>
        <w:tc>
          <w:tcPr>
            <w:tcW w:w="0" w:type="auto"/>
            <w:vAlign w:val="center"/>
            <w:hideMark/>
          </w:tcPr>
          <w:p w14:paraId="34180D1F" w14:textId="77777777" w:rsidR="00AD6543" w:rsidRPr="00AD6543" w:rsidRDefault="00AD6543" w:rsidP="00AD6543">
            <w:pPr>
              <w:rPr>
                <w:lang w:val="en-NG"/>
              </w:rPr>
            </w:pPr>
            <w:r w:rsidRPr="00AD6543">
              <w:rPr>
                <w:lang w:val="en-NG"/>
              </w:rPr>
              <w:t>Overall academic performance (score)</w:t>
            </w:r>
          </w:p>
        </w:tc>
        <w:tc>
          <w:tcPr>
            <w:tcW w:w="0" w:type="auto"/>
            <w:vAlign w:val="center"/>
            <w:hideMark/>
          </w:tcPr>
          <w:p w14:paraId="19BC2B11" w14:textId="77777777" w:rsidR="00AD6543" w:rsidRPr="00AD6543" w:rsidRDefault="00AD6543" w:rsidP="00AD6543">
            <w:pPr>
              <w:rPr>
                <w:lang w:val="en-NG"/>
              </w:rPr>
            </w:pPr>
            <w:r w:rsidRPr="00AD6543">
              <w:rPr>
                <w:lang w:val="en-NG"/>
              </w:rPr>
              <w:t>Continuous (0–100)</w:t>
            </w:r>
          </w:p>
        </w:tc>
      </w:tr>
    </w:tbl>
    <w:p w14:paraId="4422C095" w14:textId="77777777" w:rsidR="005E184E" w:rsidRDefault="005E184E"/>
    <w:sectPr w:rsidR="005E18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08CB"/>
    <w:multiLevelType w:val="multilevel"/>
    <w:tmpl w:val="05A0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91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43"/>
    <w:rsid w:val="001850A4"/>
    <w:rsid w:val="001B3356"/>
    <w:rsid w:val="005E184E"/>
    <w:rsid w:val="00930FBA"/>
    <w:rsid w:val="00AD6543"/>
    <w:rsid w:val="00CE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A572"/>
  <w15:chartTrackingRefBased/>
  <w15:docId w15:val="{23272427-473E-4053-9626-4AC9C1C2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6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65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65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65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6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5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5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5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5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543"/>
    <w:rPr>
      <w:rFonts w:eastAsiaTheme="majorEastAsia" w:cstheme="majorBidi"/>
      <w:color w:val="272727" w:themeColor="text1" w:themeTint="D8"/>
    </w:rPr>
  </w:style>
  <w:style w:type="paragraph" w:styleId="Title">
    <w:name w:val="Title"/>
    <w:basedOn w:val="Normal"/>
    <w:next w:val="Normal"/>
    <w:link w:val="TitleChar"/>
    <w:uiPriority w:val="10"/>
    <w:qFormat/>
    <w:rsid w:val="00AD6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543"/>
    <w:pPr>
      <w:spacing w:before="160"/>
      <w:jc w:val="center"/>
    </w:pPr>
    <w:rPr>
      <w:i/>
      <w:iCs/>
      <w:color w:val="404040" w:themeColor="text1" w:themeTint="BF"/>
    </w:rPr>
  </w:style>
  <w:style w:type="character" w:customStyle="1" w:styleId="QuoteChar">
    <w:name w:val="Quote Char"/>
    <w:basedOn w:val="DefaultParagraphFont"/>
    <w:link w:val="Quote"/>
    <w:uiPriority w:val="29"/>
    <w:rsid w:val="00AD6543"/>
    <w:rPr>
      <w:i/>
      <w:iCs/>
      <w:color w:val="404040" w:themeColor="text1" w:themeTint="BF"/>
    </w:rPr>
  </w:style>
  <w:style w:type="paragraph" w:styleId="ListParagraph">
    <w:name w:val="List Paragraph"/>
    <w:basedOn w:val="Normal"/>
    <w:uiPriority w:val="34"/>
    <w:qFormat/>
    <w:rsid w:val="00AD6543"/>
    <w:pPr>
      <w:ind w:left="720"/>
      <w:contextualSpacing/>
    </w:pPr>
  </w:style>
  <w:style w:type="character" w:styleId="IntenseEmphasis">
    <w:name w:val="Intense Emphasis"/>
    <w:basedOn w:val="DefaultParagraphFont"/>
    <w:uiPriority w:val="21"/>
    <w:qFormat/>
    <w:rsid w:val="00AD6543"/>
    <w:rPr>
      <w:i/>
      <w:iCs/>
      <w:color w:val="2F5496" w:themeColor="accent1" w:themeShade="BF"/>
    </w:rPr>
  </w:style>
  <w:style w:type="paragraph" w:styleId="IntenseQuote">
    <w:name w:val="Intense Quote"/>
    <w:basedOn w:val="Normal"/>
    <w:next w:val="Normal"/>
    <w:link w:val="IntenseQuoteChar"/>
    <w:uiPriority w:val="30"/>
    <w:qFormat/>
    <w:rsid w:val="00AD6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6543"/>
    <w:rPr>
      <w:i/>
      <w:iCs/>
      <w:color w:val="2F5496" w:themeColor="accent1" w:themeShade="BF"/>
    </w:rPr>
  </w:style>
  <w:style w:type="character" w:styleId="IntenseReference">
    <w:name w:val="Intense Reference"/>
    <w:basedOn w:val="DefaultParagraphFont"/>
    <w:uiPriority w:val="32"/>
    <w:qFormat/>
    <w:rsid w:val="00AD65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Nurudeen Bamiro</dc:creator>
  <cp:keywords/>
  <dc:description/>
  <cp:lastModifiedBy>Nurudeen Bamiro</cp:lastModifiedBy>
  <cp:revision>1</cp:revision>
  <dcterms:created xsi:type="dcterms:W3CDTF">2026-04-24T10:13:00Z</dcterms:created>
  <dcterms:modified xsi:type="dcterms:W3CDTF">2026-04-24T10:15:00Z</dcterms:modified>
</cp:coreProperties>
</file>